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5C06" w14:textId="118E4008" w:rsidR="00F467BD" w:rsidRPr="00F467BD" w:rsidRDefault="00F467BD" w:rsidP="00F467BD">
      <w:pPr>
        <w:pStyle w:val="Heading1"/>
        <w:rPr>
          <w:rFonts w:ascii="Avenir Roman" w:hAnsi="Avenir Roman"/>
          <w:color w:val="auto"/>
        </w:rPr>
      </w:pPr>
      <w:r w:rsidRPr="00F467BD">
        <w:rPr>
          <w:rFonts w:ascii="Avenir Roman" w:hAnsi="Avenir Roman"/>
          <w:color w:val="auto"/>
        </w:rPr>
        <w:t>Transition Planning and the IEP Rack Card</w:t>
      </w:r>
    </w:p>
    <w:p w14:paraId="193B1DC5" w14:textId="77777777" w:rsidR="00F467BD" w:rsidRPr="00F467BD" w:rsidRDefault="00F467BD">
      <w:pPr>
        <w:rPr>
          <w:rFonts w:ascii="Avenir Roman" w:hAnsi="Avenir Roman"/>
        </w:rPr>
      </w:pPr>
    </w:p>
    <w:p w14:paraId="012E74AC" w14:textId="6178737D" w:rsidR="00AA7224" w:rsidRPr="00F467BD" w:rsidRDefault="00AA7224" w:rsidP="00F467BD">
      <w:pPr>
        <w:pStyle w:val="Heading2"/>
        <w:rPr>
          <w:rFonts w:ascii="Avenir Roman" w:hAnsi="Avenir Roman"/>
          <w:color w:val="auto"/>
        </w:rPr>
      </w:pPr>
      <w:r w:rsidRPr="00F467BD">
        <w:rPr>
          <w:rFonts w:ascii="Avenir Roman" w:hAnsi="Avenir Roman"/>
          <w:color w:val="auto"/>
        </w:rPr>
        <w:t>Front Side</w:t>
      </w:r>
    </w:p>
    <w:p w14:paraId="02538AB3" w14:textId="59FC9DA3" w:rsidR="00AA7224" w:rsidRPr="00F467BD" w:rsidRDefault="00AA7224">
      <w:pPr>
        <w:rPr>
          <w:rFonts w:ascii="Avenir Roman" w:hAnsi="Avenir Roman"/>
        </w:rPr>
      </w:pPr>
    </w:p>
    <w:p w14:paraId="4B38614A" w14:textId="3AD8BCE4" w:rsidR="00AA7224" w:rsidRPr="00F467BD" w:rsidRDefault="00AA7224">
      <w:pPr>
        <w:rPr>
          <w:rFonts w:ascii="Avenir Roman" w:hAnsi="Avenir Roman"/>
        </w:rPr>
      </w:pPr>
      <w:r w:rsidRPr="00F467BD">
        <w:rPr>
          <w:rFonts w:ascii="Avenir Roman" w:hAnsi="Avenir Roman"/>
        </w:rPr>
        <w:t>Transition to Adulthood Guidelines</w:t>
      </w:r>
    </w:p>
    <w:p w14:paraId="300173D6" w14:textId="6DED82C5" w:rsidR="00F96E97" w:rsidRPr="00F467BD" w:rsidRDefault="00F96E97">
      <w:pPr>
        <w:rPr>
          <w:rFonts w:ascii="Avenir Roman" w:hAnsi="Avenir Roman"/>
        </w:rPr>
      </w:pPr>
    </w:p>
    <w:p w14:paraId="4BBEA804" w14:textId="79B41750" w:rsidR="00AA7224" w:rsidRPr="00F467BD" w:rsidRDefault="00AA7224" w:rsidP="00AA7224">
      <w:pPr>
        <w:rPr>
          <w:rFonts w:ascii="Avenir Roman" w:hAnsi="Avenir Roman"/>
        </w:rPr>
      </w:pPr>
      <w:r w:rsidRPr="00F467BD">
        <w:rPr>
          <w:rFonts w:ascii="Avenir Roman" w:hAnsi="Avenir Roman"/>
        </w:rPr>
        <w:t>Transition Planning and the IEP</w:t>
      </w:r>
    </w:p>
    <w:p w14:paraId="0CEF4F5A" w14:textId="53C3E9C4" w:rsidR="00AA7224" w:rsidRPr="00F467BD" w:rsidRDefault="00AA7224" w:rsidP="00AA7224">
      <w:pPr>
        <w:rPr>
          <w:rFonts w:ascii="Avenir Roman" w:hAnsi="Avenir Roman"/>
        </w:rPr>
      </w:pPr>
    </w:p>
    <w:p w14:paraId="1DEBD547" w14:textId="0801D84E" w:rsidR="00AA7224" w:rsidRPr="00F467BD" w:rsidRDefault="00AA7224" w:rsidP="00AA7224">
      <w:pPr>
        <w:rPr>
          <w:rFonts w:ascii="Avenir Roman" w:hAnsi="Avenir Roman"/>
        </w:rPr>
      </w:pPr>
      <w:r w:rsidRPr="00F467BD">
        <w:rPr>
          <w:rFonts w:ascii="Avenir Roman" w:hAnsi="Avenir Roman"/>
        </w:rPr>
        <w:t>“Transition to adulthood” is a complex and ongoing process. Transition begins as soon as a child is born, continues as the child becomes an adolescent, and evolves as the youth enters into early adult life. Learn how to approach transition planning using the elements of the IEP transition process.</w:t>
      </w:r>
    </w:p>
    <w:p w14:paraId="22D720E1" w14:textId="32152AD6" w:rsidR="00AA7224" w:rsidRPr="00F467BD" w:rsidRDefault="00AA7224" w:rsidP="00AA7224">
      <w:pPr>
        <w:rPr>
          <w:rFonts w:ascii="Avenir Roman" w:hAnsi="Avenir Roman"/>
        </w:rPr>
      </w:pPr>
    </w:p>
    <w:p w14:paraId="71191813" w14:textId="5C12474F" w:rsidR="00AA7224" w:rsidRPr="00F467BD" w:rsidRDefault="00AA7224" w:rsidP="00AA7224">
      <w:pPr>
        <w:rPr>
          <w:rFonts w:ascii="Avenir Roman" w:hAnsi="Avenir Roman"/>
        </w:rPr>
      </w:pPr>
      <w:r w:rsidRPr="00F467BD">
        <w:rPr>
          <w:rFonts w:ascii="Avenir Roman" w:hAnsi="Avenir Roman"/>
        </w:rPr>
        <w:t>Follow three youth with autism on their path to life after high school</w:t>
      </w:r>
    </w:p>
    <w:p w14:paraId="44467EE9" w14:textId="5F7F88FC" w:rsidR="00AA7224" w:rsidRPr="00F467BD" w:rsidRDefault="00AA7224" w:rsidP="00AA7224">
      <w:pPr>
        <w:rPr>
          <w:rFonts w:ascii="Avenir Roman" w:hAnsi="Avenir Roman"/>
        </w:rPr>
      </w:pPr>
    </w:p>
    <w:p w14:paraId="3AB70B4E" w14:textId="71289FFE" w:rsidR="00AA7224" w:rsidRPr="00F467BD" w:rsidRDefault="00AA7224" w:rsidP="00AA7224">
      <w:pPr>
        <w:rPr>
          <w:rFonts w:ascii="Avenir Roman" w:hAnsi="Avenir Roman"/>
        </w:rPr>
      </w:pPr>
      <w:r w:rsidRPr="00F467BD">
        <w:rPr>
          <w:rFonts w:ascii="Avenir Roman" w:hAnsi="Avenir Roman"/>
        </w:rPr>
        <w:t>Use Transition Planning and the IEP as a reference and resource to help frame the planning for adulthood.</w:t>
      </w:r>
    </w:p>
    <w:p w14:paraId="6603D792" w14:textId="3C71F0EE" w:rsidR="00AA7224" w:rsidRPr="00F467BD" w:rsidRDefault="00AA7224" w:rsidP="00AA7224">
      <w:pPr>
        <w:rPr>
          <w:rFonts w:ascii="Avenir Roman" w:hAnsi="Avenir Roman"/>
        </w:rPr>
      </w:pPr>
    </w:p>
    <w:p w14:paraId="7A349BB8" w14:textId="2D8FA9A5" w:rsidR="00AA7224" w:rsidRPr="00F467BD" w:rsidRDefault="00AA7224" w:rsidP="00AA7224">
      <w:pPr>
        <w:rPr>
          <w:rFonts w:ascii="Avenir Roman" w:hAnsi="Avenir Roman"/>
        </w:rPr>
      </w:pPr>
      <w:r w:rsidRPr="00F467BD">
        <w:rPr>
          <w:rFonts w:ascii="Avenir Roman" w:hAnsi="Avenir Roman"/>
        </w:rPr>
        <w:t>Annual Goals</w:t>
      </w:r>
    </w:p>
    <w:p w14:paraId="7B6BF315" w14:textId="0D9E5C1A" w:rsidR="00AA7224" w:rsidRPr="00F467BD" w:rsidRDefault="00AA7224" w:rsidP="00AA7224">
      <w:pPr>
        <w:rPr>
          <w:rFonts w:ascii="Avenir Roman" w:hAnsi="Avenir Roman"/>
        </w:rPr>
      </w:pPr>
      <w:r w:rsidRPr="00F467BD">
        <w:rPr>
          <w:rFonts w:ascii="Avenir Roman" w:hAnsi="Avenir Roman"/>
        </w:rPr>
        <w:t>Age-Appropriate Transition Assessment (AATA)</w:t>
      </w:r>
    </w:p>
    <w:p w14:paraId="0F3FFE41" w14:textId="6377B887" w:rsidR="00AA7224" w:rsidRPr="00F467BD" w:rsidRDefault="00AA7224" w:rsidP="00AA7224">
      <w:pPr>
        <w:rPr>
          <w:rFonts w:ascii="Avenir Roman" w:hAnsi="Avenir Roman"/>
        </w:rPr>
      </w:pPr>
      <w:r w:rsidRPr="00F467BD">
        <w:rPr>
          <w:rFonts w:ascii="Avenir Roman" w:hAnsi="Avenir Roman"/>
        </w:rPr>
        <w:t>Student Vision</w:t>
      </w:r>
    </w:p>
    <w:p w14:paraId="02EEEFA9" w14:textId="6FB9DD1A" w:rsidR="00AA7224" w:rsidRPr="00F467BD" w:rsidRDefault="00AA7224" w:rsidP="00AA7224">
      <w:pPr>
        <w:rPr>
          <w:rFonts w:ascii="Avenir Roman" w:hAnsi="Avenir Roman"/>
        </w:rPr>
      </w:pPr>
      <w:r w:rsidRPr="00F467BD">
        <w:rPr>
          <w:rFonts w:ascii="Avenir Roman" w:hAnsi="Avenir Roman"/>
        </w:rPr>
        <w:t>Postsecondary Goals</w:t>
      </w:r>
    </w:p>
    <w:p w14:paraId="48641685" w14:textId="675C717B" w:rsidR="00AA7224" w:rsidRPr="00F467BD" w:rsidRDefault="00AA7224" w:rsidP="00AA7224">
      <w:pPr>
        <w:rPr>
          <w:rFonts w:ascii="Avenir Roman" w:hAnsi="Avenir Roman"/>
        </w:rPr>
      </w:pPr>
      <w:r w:rsidRPr="00F467BD">
        <w:rPr>
          <w:rFonts w:ascii="Avenir Roman" w:hAnsi="Avenir Roman"/>
        </w:rPr>
        <w:t>Course of Study</w:t>
      </w:r>
    </w:p>
    <w:p w14:paraId="607A76B7" w14:textId="4FF5FA5D" w:rsidR="00AA7224" w:rsidRPr="00F467BD" w:rsidRDefault="00AA7224" w:rsidP="00AA7224">
      <w:pPr>
        <w:rPr>
          <w:rFonts w:ascii="Avenir Roman" w:hAnsi="Avenir Roman"/>
        </w:rPr>
      </w:pPr>
      <w:r w:rsidRPr="00F467BD">
        <w:rPr>
          <w:rFonts w:ascii="Avenir Roman" w:hAnsi="Avenir Roman"/>
        </w:rPr>
        <w:t>Transition Services</w:t>
      </w:r>
    </w:p>
    <w:p w14:paraId="2A92B34E" w14:textId="4B75BB0B" w:rsidR="00AA7224" w:rsidRPr="00F467BD" w:rsidRDefault="00AA7224" w:rsidP="00AA7224">
      <w:pPr>
        <w:rPr>
          <w:rFonts w:ascii="Avenir Roman" w:hAnsi="Avenir Roman"/>
        </w:rPr>
      </w:pPr>
      <w:r w:rsidRPr="00F467BD">
        <w:rPr>
          <w:rFonts w:ascii="Avenir Roman" w:hAnsi="Avenir Roman"/>
        </w:rPr>
        <w:t>Agencies and Providers</w:t>
      </w:r>
    </w:p>
    <w:p w14:paraId="7E956C6F" w14:textId="456DDD8D" w:rsidR="00AA7224" w:rsidRPr="00F467BD" w:rsidRDefault="00AA7224" w:rsidP="00AA7224">
      <w:pPr>
        <w:rPr>
          <w:rFonts w:ascii="Avenir Roman" w:hAnsi="Avenir Roman"/>
        </w:rPr>
      </w:pPr>
    </w:p>
    <w:p w14:paraId="22D9548C" w14:textId="1E730897" w:rsidR="00AA7224" w:rsidRPr="00F467BD" w:rsidRDefault="00AA7224" w:rsidP="00F467BD">
      <w:pPr>
        <w:pStyle w:val="Heading2"/>
        <w:rPr>
          <w:rFonts w:ascii="Avenir Roman" w:hAnsi="Avenir Roman"/>
          <w:color w:val="auto"/>
        </w:rPr>
      </w:pPr>
      <w:r w:rsidRPr="00F467BD">
        <w:rPr>
          <w:rFonts w:ascii="Avenir Roman" w:hAnsi="Avenir Roman"/>
          <w:color w:val="auto"/>
        </w:rPr>
        <w:t>Back Side</w:t>
      </w:r>
    </w:p>
    <w:p w14:paraId="3E1D3F67" w14:textId="07C5CBD6" w:rsidR="00AA7224" w:rsidRPr="00F467BD" w:rsidRDefault="00AA7224" w:rsidP="00AA7224">
      <w:pPr>
        <w:rPr>
          <w:rFonts w:ascii="Avenir Roman" w:hAnsi="Avenir Roman"/>
        </w:rPr>
      </w:pPr>
    </w:p>
    <w:p w14:paraId="4A29936E" w14:textId="31711C03" w:rsidR="007A2F47" w:rsidRPr="00F467BD" w:rsidRDefault="007A2F47" w:rsidP="00AA7224">
      <w:pPr>
        <w:rPr>
          <w:rFonts w:ascii="Avenir Roman" w:hAnsi="Avenir Roman"/>
        </w:rPr>
      </w:pPr>
      <w:r w:rsidRPr="00F467BD">
        <w:rPr>
          <w:rFonts w:ascii="Avenir Roman" w:hAnsi="Avenir Roman"/>
        </w:rPr>
        <w:t>OCALI</w:t>
      </w:r>
    </w:p>
    <w:p w14:paraId="5B4C6F90" w14:textId="5A1A3E90" w:rsidR="007A2F47" w:rsidRPr="00F467BD" w:rsidRDefault="007A2F47" w:rsidP="00AA7224">
      <w:pPr>
        <w:rPr>
          <w:rFonts w:ascii="Avenir Roman" w:hAnsi="Avenir Roman"/>
        </w:rPr>
      </w:pPr>
      <w:r w:rsidRPr="00F467BD">
        <w:rPr>
          <w:rFonts w:ascii="Avenir Roman" w:hAnsi="Avenir Roman"/>
        </w:rPr>
        <w:t>Lifespan Transitions Center</w:t>
      </w:r>
    </w:p>
    <w:p w14:paraId="66A8ACA5" w14:textId="77777777" w:rsidR="007A2F47" w:rsidRPr="00F467BD" w:rsidRDefault="007A2F47" w:rsidP="00AA7224">
      <w:pPr>
        <w:rPr>
          <w:rFonts w:ascii="Avenir Roman" w:hAnsi="Avenir Roman"/>
        </w:rPr>
      </w:pPr>
    </w:p>
    <w:p w14:paraId="0605A222" w14:textId="14A3E853" w:rsidR="00AA7224" w:rsidRPr="00F467BD" w:rsidRDefault="00AA7224" w:rsidP="00AA7224">
      <w:pPr>
        <w:rPr>
          <w:rFonts w:ascii="Avenir Roman" w:hAnsi="Avenir Roman"/>
        </w:rPr>
      </w:pPr>
      <w:r w:rsidRPr="00F467BD">
        <w:rPr>
          <w:rFonts w:ascii="Avenir Roman" w:hAnsi="Avenir Roman"/>
        </w:rPr>
        <w:t>Building pathways to community-based adult lives for individuals with disabilities</w:t>
      </w:r>
    </w:p>
    <w:p w14:paraId="2CE4988E" w14:textId="58BD4F3C" w:rsidR="00AA7224" w:rsidRPr="00F467BD" w:rsidRDefault="00AA7224" w:rsidP="00AA7224">
      <w:pPr>
        <w:rPr>
          <w:rFonts w:ascii="Avenir Roman" w:hAnsi="Avenir Roman"/>
        </w:rPr>
      </w:pPr>
    </w:p>
    <w:p w14:paraId="71958DDB" w14:textId="43B736F6" w:rsidR="00AA7224" w:rsidRPr="00F467BD" w:rsidRDefault="00AA7224" w:rsidP="00AA7224">
      <w:pPr>
        <w:rPr>
          <w:rFonts w:ascii="Avenir Roman" w:hAnsi="Avenir Roman"/>
        </w:rPr>
      </w:pPr>
      <w:r w:rsidRPr="00F467BD">
        <w:rPr>
          <w:rFonts w:ascii="Avenir Roman" w:hAnsi="Avenir Roman"/>
        </w:rPr>
        <w:t>Consider seven elements for transition planning from vision to adulthood. Evidence Based resources and examples included.</w:t>
      </w:r>
    </w:p>
    <w:p w14:paraId="0048740B" w14:textId="7698687D" w:rsidR="00AA7224" w:rsidRPr="00F467BD" w:rsidRDefault="00AA7224" w:rsidP="00AA7224">
      <w:pPr>
        <w:rPr>
          <w:rFonts w:ascii="Avenir Roman" w:hAnsi="Avenir Roman"/>
        </w:rPr>
      </w:pPr>
    </w:p>
    <w:p w14:paraId="1C75F4AA" w14:textId="6C7DE7AD" w:rsidR="00AA7224" w:rsidRPr="00F467BD" w:rsidRDefault="00AA7224" w:rsidP="00AA7224">
      <w:pPr>
        <w:rPr>
          <w:rFonts w:ascii="Avenir Roman" w:hAnsi="Avenir Roman"/>
        </w:rPr>
      </w:pPr>
      <w:r w:rsidRPr="00F467BD">
        <w:rPr>
          <w:rFonts w:ascii="Avenir Roman" w:hAnsi="Avenir Roman"/>
        </w:rPr>
        <w:t>1 Age Appropriate Transition Assessment</w:t>
      </w:r>
    </w:p>
    <w:p w14:paraId="4FED80D7" w14:textId="0D012246" w:rsidR="00AA7224" w:rsidRPr="00F467BD" w:rsidRDefault="00AA7224" w:rsidP="00AA7224">
      <w:pPr>
        <w:rPr>
          <w:rFonts w:ascii="Avenir Roman" w:hAnsi="Avenir Roman"/>
        </w:rPr>
      </w:pPr>
      <w:r w:rsidRPr="00F467BD">
        <w:rPr>
          <w:rFonts w:ascii="Avenir Roman" w:hAnsi="Avenir Roman"/>
        </w:rPr>
        <w:t>Discover Meaningful Information for Adult Life Planning</w:t>
      </w:r>
    </w:p>
    <w:p w14:paraId="27EFEC22" w14:textId="3A42A2A7" w:rsidR="00AA7224" w:rsidRPr="00F467BD" w:rsidRDefault="00AA7224" w:rsidP="00AA7224">
      <w:pPr>
        <w:rPr>
          <w:rFonts w:ascii="Avenir Roman" w:hAnsi="Avenir Roman"/>
        </w:rPr>
      </w:pPr>
    </w:p>
    <w:p w14:paraId="0DCCF4DB" w14:textId="2E2C1712" w:rsidR="00AA7224" w:rsidRPr="00F467BD" w:rsidRDefault="00AA7224" w:rsidP="00AA7224">
      <w:pPr>
        <w:rPr>
          <w:rFonts w:ascii="Avenir Roman" w:hAnsi="Avenir Roman"/>
        </w:rPr>
      </w:pPr>
      <w:r w:rsidRPr="00F467BD">
        <w:rPr>
          <w:rFonts w:ascii="Avenir Roman" w:hAnsi="Avenir Roman"/>
        </w:rPr>
        <w:t>2 Student Vision</w:t>
      </w:r>
    </w:p>
    <w:p w14:paraId="2966B364" w14:textId="6D84DA07" w:rsidR="00AA7224" w:rsidRPr="00F467BD" w:rsidRDefault="00AA7224" w:rsidP="00AA7224">
      <w:pPr>
        <w:rPr>
          <w:rFonts w:ascii="Avenir Roman" w:hAnsi="Avenir Roman"/>
        </w:rPr>
      </w:pPr>
      <w:r w:rsidRPr="00F467BD">
        <w:rPr>
          <w:rFonts w:ascii="Avenir Roman" w:hAnsi="Avenir Roman"/>
        </w:rPr>
        <w:t>Envision the Future</w:t>
      </w:r>
    </w:p>
    <w:p w14:paraId="1CAD2679" w14:textId="39A9A109" w:rsidR="00AA7224" w:rsidRPr="00F467BD" w:rsidRDefault="00AA7224" w:rsidP="00AA7224">
      <w:pPr>
        <w:rPr>
          <w:rFonts w:ascii="Avenir Roman" w:hAnsi="Avenir Roman"/>
        </w:rPr>
      </w:pPr>
    </w:p>
    <w:p w14:paraId="0B1769D7" w14:textId="6752071F" w:rsidR="00AA7224" w:rsidRPr="00F467BD" w:rsidRDefault="00AA7224" w:rsidP="00AA7224">
      <w:pPr>
        <w:rPr>
          <w:rFonts w:ascii="Avenir Roman" w:hAnsi="Avenir Roman"/>
        </w:rPr>
      </w:pPr>
      <w:r w:rsidRPr="00F467BD">
        <w:rPr>
          <w:rFonts w:ascii="Avenir Roman" w:hAnsi="Avenir Roman"/>
        </w:rPr>
        <w:t>3 Postsecondary Goals</w:t>
      </w:r>
    </w:p>
    <w:p w14:paraId="3B93AF23" w14:textId="791AA2DC" w:rsidR="00AA7224" w:rsidRPr="00F467BD" w:rsidRDefault="00AA7224" w:rsidP="00AA7224">
      <w:pPr>
        <w:rPr>
          <w:rFonts w:ascii="Avenir Roman" w:hAnsi="Avenir Roman"/>
        </w:rPr>
      </w:pPr>
      <w:r w:rsidRPr="00F467BD">
        <w:rPr>
          <w:rFonts w:ascii="Avenir Roman" w:hAnsi="Avenir Roman"/>
        </w:rPr>
        <w:t>Develop Adult Life Goals</w:t>
      </w:r>
    </w:p>
    <w:p w14:paraId="0DE6CBE9" w14:textId="6A295207" w:rsidR="00AA7224" w:rsidRPr="00F467BD" w:rsidRDefault="00AA7224" w:rsidP="00AA7224">
      <w:pPr>
        <w:rPr>
          <w:rFonts w:ascii="Avenir Roman" w:hAnsi="Avenir Roman"/>
        </w:rPr>
      </w:pPr>
    </w:p>
    <w:p w14:paraId="54FD408D" w14:textId="66AF1F56" w:rsidR="00AA7224" w:rsidRPr="00F467BD" w:rsidRDefault="00AA7224" w:rsidP="00AA7224">
      <w:pPr>
        <w:rPr>
          <w:rFonts w:ascii="Avenir Roman" w:hAnsi="Avenir Roman"/>
        </w:rPr>
      </w:pPr>
      <w:r w:rsidRPr="00F467BD">
        <w:rPr>
          <w:rFonts w:ascii="Avenir Roman" w:hAnsi="Avenir Roman"/>
        </w:rPr>
        <w:t>4 Course of Study</w:t>
      </w:r>
    </w:p>
    <w:p w14:paraId="4E3CD313" w14:textId="74816954" w:rsidR="00AA7224" w:rsidRPr="00F467BD" w:rsidRDefault="00AA7224" w:rsidP="00AA7224">
      <w:pPr>
        <w:rPr>
          <w:rFonts w:ascii="Avenir Roman" w:hAnsi="Avenir Roman"/>
        </w:rPr>
      </w:pPr>
      <w:r w:rsidRPr="00F467BD">
        <w:rPr>
          <w:rFonts w:ascii="Avenir Roman" w:hAnsi="Avenir Roman"/>
        </w:rPr>
        <w:t>Design Educational Pathway to Adulthood</w:t>
      </w:r>
    </w:p>
    <w:p w14:paraId="23B2A2D8" w14:textId="171DFE88" w:rsidR="00AA7224" w:rsidRPr="00F467BD" w:rsidRDefault="00AA7224" w:rsidP="00AA7224">
      <w:pPr>
        <w:rPr>
          <w:rFonts w:ascii="Avenir Roman" w:hAnsi="Avenir Roman"/>
        </w:rPr>
      </w:pPr>
    </w:p>
    <w:p w14:paraId="69942962" w14:textId="1C2C330C" w:rsidR="00AA7224" w:rsidRPr="00F467BD" w:rsidRDefault="00AA7224" w:rsidP="00AA7224">
      <w:pPr>
        <w:rPr>
          <w:rFonts w:ascii="Avenir Roman" w:hAnsi="Avenir Roman"/>
        </w:rPr>
      </w:pPr>
      <w:r w:rsidRPr="00F467BD">
        <w:rPr>
          <w:rFonts w:ascii="Avenir Roman" w:hAnsi="Avenir Roman"/>
        </w:rPr>
        <w:t>5 Transition Services</w:t>
      </w:r>
    </w:p>
    <w:p w14:paraId="74BA5483" w14:textId="5D38536F" w:rsidR="00AA7224" w:rsidRPr="00F467BD" w:rsidRDefault="00AA7224" w:rsidP="00AA7224">
      <w:pPr>
        <w:rPr>
          <w:rFonts w:ascii="Avenir Roman" w:hAnsi="Avenir Roman"/>
        </w:rPr>
      </w:pPr>
      <w:r w:rsidRPr="00F467BD">
        <w:rPr>
          <w:rFonts w:ascii="Avenir Roman" w:hAnsi="Avenir Roman"/>
        </w:rPr>
        <w:t>Include Experiences and Activities to Facilitate Success</w:t>
      </w:r>
    </w:p>
    <w:p w14:paraId="195DAD9E" w14:textId="39DA4FC1" w:rsidR="00AA7224" w:rsidRPr="00F467BD" w:rsidRDefault="00AA7224" w:rsidP="00AA7224">
      <w:pPr>
        <w:rPr>
          <w:rFonts w:ascii="Avenir Roman" w:hAnsi="Avenir Roman"/>
        </w:rPr>
      </w:pPr>
    </w:p>
    <w:p w14:paraId="79C85A22" w14:textId="37FA7CBF" w:rsidR="00AA7224" w:rsidRPr="00F467BD" w:rsidRDefault="00AA7224" w:rsidP="00AA7224">
      <w:pPr>
        <w:rPr>
          <w:rFonts w:ascii="Avenir Roman" w:hAnsi="Avenir Roman"/>
        </w:rPr>
      </w:pPr>
      <w:r w:rsidRPr="00F467BD">
        <w:rPr>
          <w:rFonts w:ascii="Avenir Roman" w:hAnsi="Avenir Roman"/>
        </w:rPr>
        <w:t>6 Involved Needed Agencies</w:t>
      </w:r>
    </w:p>
    <w:p w14:paraId="0732724A" w14:textId="4CDAB45E" w:rsidR="00AA7224" w:rsidRPr="00F467BD" w:rsidRDefault="00AA7224" w:rsidP="00AA7224">
      <w:pPr>
        <w:rPr>
          <w:rFonts w:ascii="Avenir Roman" w:hAnsi="Avenir Roman"/>
        </w:rPr>
      </w:pPr>
      <w:r w:rsidRPr="00F467BD">
        <w:rPr>
          <w:rFonts w:ascii="Avenir Roman" w:hAnsi="Avenir Roman"/>
        </w:rPr>
        <w:t>Assemble a Network of Support for Adult Life</w:t>
      </w:r>
    </w:p>
    <w:p w14:paraId="7D465735" w14:textId="0E8C7D06" w:rsidR="00AA7224" w:rsidRPr="00F467BD" w:rsidRDefault="00AA7224" w:rsidP="00AA7224">
      <w:pPr>
        <w:rPr>
          <w:rFonts w:ascii="Avenir Roman" w:hAnsi="Avenir Roman"/>
        </w:rPr>
      </w:pPr>
    </w:p>
    <w:p w14:paraId="7D7CEA1C" w14:textId="06E66D26" w:rsidR="00AA7224" w:rsidRPr="00F467BD" w:rsidRDefault="00AA7224" w:rsidP="00AA7224">
      <w:pPr>
        <w:rPr>
          <w:rFonts w:ascii="Avenir Roman" w:hAnsi="Avenir Roman"/>
        </w:rPr>
      </w:pPr>
      <w:r w:rsidRPr="00F467BD">
        <w:rPr>
          <w:rFonts w:ascii="Avenir Roman" w:hAnsi="Avenir Roman"/>
        </w:rPr>
        <w:t>7 Align Annual Goals</w:t>
      </w:r>
    </w:p>
    <w:p w14:paraId="3EA510E4" w14:textId="53571BBA" w:rsidR="00AA7224" w:rsidRPr="00F467BD" w:rsidRDefault="00AA7224" w:rsidP="00AA7224">
      <w:pPr>
        <w:rPr>
          <w:rFonts w:ascii="Avenir Roman" w:hAnsi="Avenir Roman"/>
        </w:rPr>
      </w:pPr>
      <w:r w:rsidRPr="00F467BD">
        <w:rPr>
          <w:rFonts w:ascii="Avenir Roman" w:hAnsi="Avenir Roman"/>
        </w:rPr>
        <w:t>Identify Steps to Connect School to Adult Life</w:t>
      </w:r>
    </w:p>
    <w:p w14:paraId="4FCF7EBE" w14:textId="663E267F" w:rsidR="00AA7224" w:rsidRPr="00F467BD" w:rsidRDefault="00AA7224" w:rsidP="00AA7224">
      <w:pPr>
        <w:rPr>
          <w:rFonts w:ascii="Avenir Roman" w:hAnsi="Avenir Roman"/>
        </w:rPr>
      </w:pPr>
    </w:p>
    <w:p w14:paraId="0BF1BE26" w14:textId="4B3DBC5F" w:rsidR="00F467BD" w:rsidRDefault="00AA7224">
      <w:pPr>
        <w:rPr>
          <w:rFonts w:ascii="Avenir Roman" w:hAnsi="Avenir Roman"/>
        </w:rPr>
      </w:pPr>
      <w:r w:rsidRPr="00F467BD">
        <w:rPr>
          <w:rFonts w:ascii="Avenir Roman" w:hAnsi="Avenir Roman"/>
        </w:rPr>
        <w:t>For more information and resources visit</w:t>
      </w:r>
    </w:p>
    <w:p w14:paraId="353A7B16" w14:textId="6804A968" w:rsidR="00F467BD" w:rsidRPr="00F467BD" w:rsidRDefault="00F467BD">
      <w:pPr>
        <w:rPr>
          <w:rFonts w:ascii="Avenir" w:hAnsi="Avenir" w:cs="Arial"/>
          <w:u w:val="single"/>
        </w:rPr>
      </w:pPr>
      <w:hyperlink r:id="rId5" w:history="1">
        <w:r w:rsidRPr="00F467BD">
          <w:rPr>
            <w:rFonts w:ascii="Avenir" w:hAnsi="Avenir" w:cs="Avenir"/>
            <w:color w:val="000000"/>
            <w:u w:val="single"/>
          </w:rPr>
          <w:t>www.ocali.org/project/transition_to_adulthood_guid</w:t>
        </w:r>
        <w:r w:rsidRPr="00F467BD">
          <w:rPr>
            <w:rFonts w:ascii="Avenir" w:hAnsi="Avenir" w:cs="Avenir"/>
            <w:color w:val="000000"/>
            <w:u w:val="single"/>
          </w:rPr>
          <w:t>e</w:t>
        </w:r>
        <w:r w:rsidRPr="00F467BD">
          <w:rPr>
            <w:rFonts w:ascii="Avenir" w:hAnsi="Avenir" w:cs="Avenir"/>
            <w:color w:val="000000"/>
            <w:u w:val="single"/>
          </w:rPr>
          <w:t>lines</w:t>
        </w:r>
      </w:hyperlink>
      <w:bookmarkStart w:id="0" w:name="_GoBack"/>
      <w:bookmarkEnd w:id="0"/>
    </w:p>
    <w:sectPr w:rsidR="00F467BD" w:rsidRPr="00F467BD" w:rsidSect="00AC2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venir">
    <w:altName w:val="Calibri"/>
    <w:panose1 w:val="020B0503020203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A3EA9"/>
    <w:multiLevelType w:val="hybridMultilevel"/>
    <w:tmpl w:val="A35EE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28"/>
    <w:rsid w:val="001E363E"/>
    <w:rsid w:val="001F2C28"/>
    <w:rsid w:val="00607C4B"/>
    <w:rsid w:val="007A2F47"/>
    <w:rsid w:val="00AA7224"/>
    <w:rsid w:val="00AC2068"/>
    <w:rsid w:val="00F467BD"/>
    <w:rsid w:val="00F9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EEE5"/>
  <w15:chartTrackingRefBased/>
  <w15:docId w15:val="{9A0D1D9C-86DA-2B4F-AAFA-995C0AFD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7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67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24"/>
    <w:pPr>
      <w:ind w:left="720"/>
      <w:contextualSpacing/>
    </w:pPr>
  </w:style>
  <w:style w:type="character" w:styleId="Hyperlink">
    <w:name w:val="Hyperlink"/>
    <w:basedOn w:val="DefaultParagraphFont"/>
    <w:uiPriority w:val="99"/>
    <w:unhideWhenUsed/>
    <w:rsid w:val="00AA7224"/>
    <w:rPr>
      <w:color w:val="0563C1" w:themeColor="hyperlink"/>
      <w:u w:val="single"/>
    </w:rPr>
  </w:style>
  <w:style w:type="character" w:styleId="UnresolvedMention">
    <w:name w:val="Unresolved Mention"/>
    <w:basedOn w:val="DefaultParagraphFont"/>
    <w:uiPriority w:val="99"/>
    <w:rsid w:val="00AA7224"/>
    <w:rPr>
      <w:color w:val="605E5C"/>
      <w:shd w:val="clear" w:color="auto" w:fill="E1DFDD"/>
    </w:rPr>
  </w:style>
  <w:style w:type="character" w:customStyle="1" w:styleId="Heading1Char">
    <w:name w:val="Heading 1 Char"/>
    <w:basedOn w:val="DefaultParagraphFont"/>
    <w:link w:val="Heading1"/>
    <w:uiPriority w:val="9"/>
    <w:rsid w:val="00F467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67B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46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cali.org/project/transition_to_adulthood_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237</Words>
  <Characters>1413</Characters>
  <Application>Microsoft Office Word</Application>
  <DocSecurity>0</DocSecurity>
  <Lines>64</Lines>
  <Paragraphs>43</Paragraphs>
  <ScaleCrop>false</ScaleCrop>
  <HeadingPairs>
    <vt:vector size="2" baseType="variant">
      <vt:variant>
        <vt:lpstr>Title</vt:lpstr>
      </vt:variant>
      <vt:variant>
        <vt:i4>1</vt:i4>
      </vt:variant>
    </vt:vector>
  </HeadingPairs>
  <TitlesOfParts>
    <vt:vector size="1" baseType="lpstr">
      <vt:lpstr>Transition Planning and the IEP rack card</vt:lpstr>
    </vt:vector>
  </TitlesOfParts>
  <Manager/>
  <Company/>
  <LinksUpToDate>false</LinksUpToDate>
  <CharactersWithSpaces>1607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Planning and the IEP rack card</dc:title>
  <dc:subject>Promotional Card</dc:subject>
  <dc:creator>Marketing_Communication</dc:creator>
  <cp:keywords/>
  <dc:description/>
  <cp:lastModifiedBy>Microsoft Office User</cp:lastModifiedBy>
  <cp:revision>6</cp:revision>
  <dcterms:created xsi:type="dcterms:W3CDTF">2018-11-04T16:33:00Z</dcterms:created>
  <dcterms:modified xsi:type="dcterms:W3CDTF">2018-11-09T00:37:00Z</dcterms:modified>
  <cp:category/>
</cp:coreProperties>
</file>