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2C05" w14:textId="06461BB6" w:rsidR="002E379A" w:rsidRPr="002E379A" w:rsidRDefault="002E379A" w:rsidP="004C51A7">
      <w:pPr>
        <w:adjustRightInd w:val="0"/>
        <w:spacing w:after="0" w:line="240" w:lineRule="auto"/>
        <w:rPr>
          <w:rFonts w:ascii="Avenir Book" w:eastAsiaTheme="minorHAnsi" w:hAnsi="Avenir Book" w:cs="Georgia"/>
          <w:b/>
          <w:bCs/>
          <w:color w:val="000000"/>
          <w:sz w:val="24"/>
          <w:szCs w:val="24"/>
        </w:rPr>
      </w:pPr>
      <w:r w:rsidRPr="002E379A">
        <w:rPr>
          <w:rFonts w:ascii="Avenir Book" w:eastAsiaTheme="minorHAnsi" w:hAnsi="Avenir Book" w:cs="Georgia"/>
          <w:b/>
          <w:bCs/>
          <w:color w:val="000000"/>
          <w:sz w:val="24"/>
          <w:szCs w:val="24"/>
        </w:rPr>
        <w:t>House Bill 448 – Regarding Prescription Drug Readers</w:t>
      </w:r>
    </w:p>
    <w:p w14:paraId="4D41AB39" w14:textId="2B4FB445" w:rsidR="00C574E4" w:rsidRPr="002E379A" w:rsidRDefault="002E379A" w:rsidP="004C51A7">
      <w:pPr>
        <w:adjustRightInd w:val="0"/>
        <w:spacing w:after="0" w:line="240" w:lineRule="auto"/>
        <w:rPr>
          <w:rFonts w:ascii="Avenir Book" w:eastAsiaTheme="minorHAnsi" w:hAnsi="Avenir Book" w:cs="Georgia"/>
          <w:b/>
          <w:bCs/>
          <w:color w:val="000000"/>
          <w:sz w:val="24"/>
          <w:szCs w:val="24"/>
        </w:rPr>
      </w:pPr>
      <w:r w:rsidRPr="002E379A">
        <w:rPr>
          <w:rFonts w:ascii="Avenir Book" w:eastAsiaTheme="minorHAnsi" w:hAnsi="Avenir Book" w:cs="Georgia"/>
          <w:b/>
          <w:bCs/>
          <w:color w:val="000000"/>
          <w:sz w:val="24"/>
          <w:szCs w:val="24"/>
        </w:rPr>
        <w:t>House Insurance</w:t>
      </w:r>
      <w:r w:rsidR="00C574E4" w:rsidRPr="002E379A">
        <w:rPr>
          <w:rFonts w:ascii="Avenir Book" w:eastAsiaTheme="minorHAnsi" w:hAnsi="Avenir Book" w:cs="Georgia"/>
          <w:b/>
          <w:bCs/>
          <w:color w:val="000000"/>
          <w:sz w:val="24"/>
          <w:szCs w:val="24"/>
        </w:rPr>
        <w:t xml:space="preserve"> Committee Testimony</w:t>
      </w:r>
    </w:p>
    <w:p w14:paraId="6B528B69" w14:textId="1AEEA4CC" w:rsidR="00C574E4" w:rsidRPr="002E379A" w:rsidRDefault="00C574E4" w:rsidP="00C574E4">
      <w:pPr>
        <w:adjustRightInd w:val="0"/>
        <w:spacing w:line="240" w:lineRule="auto"/>
        <w:rPr>
          <w:rFonts w:ascii="Avenir Book" w:eastAsiaTheme="minorHAnsi" w:hAnsi="Avenir Book" w:cs="Georgia"/>
          <w:color w:val="000000"/>
          <w:sz w:val="24"/>
          <w:szCs w:val="24"/>
        </w:rPr>
      </w:pPr>
      <w:r w:rsidRPr="002E379A">
        <w:rPr>
          <w:rFonts w:ascii="Avenir Book" w:hAnsi="Avenir Book"/>
          <w:b/>
          <w:bCs/>
          <w:sz w:val="24"/>
          <w:szCs w:val="24"/>
        </w:rPr>
        <w:t xml:space="preserve">March </w:t>
      </w:r>
      <w:r w:rsidR="002E379A" w:rsidRPr="002E379A">
        <w:rPr>
          <w:rFonts w:ascii="Avenir Book" w:hAnsi="Avenir Book"/>
          <w:b/>
          <w:bCs/>
          <w:sz w:val="24"/>
          <w:szCs w:val="24"/>
        </w:rPr>
        <w:t>30</w:t>
      </w:r>
      <w:r w:rsidRPr="002E379A">
        <w:rPr>
          <w:rFonts w:ascii="Avenir Book" w:hAnsi="Avenir Book"/>
          <w:b/>
          <w:bCs/>
          <w:sz w:val="24"/>
          <w:szCs w:val="24"/>
        </w:rPr>
        <w:t>, 2022</w:t>
      </w:r>
    </w:p>
    <w:p w14:paraId="58BB35F3" w14:textId="2B324969" w:rsidR="00C574E4" w:rsidRPr="002E379A" w:rsidRDefault="002E379A" w:rsidP="00C574E4">
      <w:pPr>
        <w:spacing w:line="240" w:lineRule="auto"/>
        <w:rPr>
          <w:rFonts w:ascii="Avenir Book" w:hAnsi="Avenir Book"/>
          <w:sz w:val="24"/>
          <w:szCs w:val="24"/>
        </w:rPr>
      </w:pPr>
      <w:r w:rsidRPr="002E379A">
        <w:rPr>
          <w:rFonts w:ascii="Avenir Book" w:hAnsi="Avenir Book"/>
          <w:sz w:val="24"/>
          <w:szCs w:val="24"/>
        </w:rPr>
        <w:t xml:space="preserve">Chair Brinkman, Vice Chair </w:t>
      </w:r>
      <w:proofErr w:type="spellStart"/>
      <w:r w:rsidRPr="002E379A">
        <w:rPr>
          <w:rFonts w:ascii="Avenir Book" w:hAnsi="Avenir Book"/>
          <w:sz w:val="24"/>
          <w:szCs w:val="24"/>
        </w:rPr>
        <w:t>Lampton</w:t>
      </w:r>
      <w:proofErr w:type="spellEnd"/>
      <w:r w:rsidRPr="002E379A">
        <w:rPr>
          <w:rFonts w:ascii="Avenir Book" w:hAnsi="Avenir Book"/>
          <w:sz w:val="24"/>
          <w:szCs w:val="24"/>
        </w:rPr>
        <w:t xml:space="preserve">, Ranking Member Miranda </w:t>
      </w:r>
      <w:r w:rsidR="00C574E4" w:rsidRPr="002E379A">
        <w:rPr>
          <w:rFonts w:ascii="Avenir Book" w:hAnsi="Avenir Book"/>
          <w:sz w:val="24"/>
          <w:szCs w:val="24"/>
        </w:rPr>
        <w:t xml:space="preserve">and members of the </w:t>
      </w:r>
      <w:r w:rsidRPr="002E379A">
        <w:rPr>
          <w:rFonts w:ascii="Avenir Book" w:hAnsi="Avenir Book"/>
          <w:sz w:val="24"/>
          <w:szCs w:val="24"/>
        </w:rPr>
        <w:t>House Insurance</w:t>
      </w:r>
      <w:r w:rsidR="00C574E4" w:rsidRPr="002E379A">
        <w:rPr>
          <w:rFonts w:ascii="Avenir Book" w:hAnsi="Avenir Book"/>
          <w:sz w:val="24"/>
          <w:szCs w:val="24"/>
        </w:rPr>
        <w:t xml:space="preserve"> Committee, thank you for </w:t>
      </w:r>
      <w:r w:rsidRPr="002E379A">
        <w:rPr>
          <w:rFonts w:ascii="Avenir Book" w:hAnsi="Avenir Book"/>
          <w:sz w:val="24"/>
          <w:szCs w:val="24"/>
        </w:rPr>
        <w:t>your time and the opportunity to testify on this important topic</w:t>
      </w:r>
      <w:r w:rsidR="00C574E4" w:rsidRPr="002E379A">
        <w:rPr>
          <w:rFonts w:ascii="Avenir Book" w:hAnsi="Avenir Book"/>
          <w:sz w:val="24"/>
          <w:szCs w:val="24"/>
        </w:rPr>
        <w:t>.</w:t>
      </w:r>
    </w:p>
    <w:p w14:paraId="116E1836" w14:textId="105725D2" w:rsidR="002E379A" w:rsidRPr="002E379A" w:rsidRDefault="00C574E4" w:rsidP="00C574E4">
      <w:pPr>
        <w:spacing w:line="240" w:lineRule="auto"/>
        <w:rPr>
          <w:rFonts w:ascii="Avenir Book" w:hAnsi="Avenir Book"/>
          <w:sz w:val="24"/>
          <w:szCs w:val="24"/>
        </w:rPr>
      </w:pPr>
      <w:r w:rsidRPr="002E379A">
        <w:rPr>
          <w:rFonts w:ascii="Avenir Book" w:hAnsi="Avenir Book"/>
          <w:sz w:val="24"/>
          <w:szCs w:val="24"/>
        </w:rPr>
        <w:t xml:space="preserve">My name is Teresa </w:t>
      </w:r>
      <w:proofErr w:type="spellStart"/>
      <w:proofErr w:type="gramStart"/>
      <w:r w:rsidRPr="002E379A">
        <w:rPr>
          <w:rFonts w:ascii="Avenir Book" w:hAnsi="Avenir Book"/>
          <w:sz w:val="24"/>
          <w:szCs w:val="24"/>
        </w:rPr>
        <w:t>Kobelt</w:t>
      </w:r>
      <w:proofErr w:type="spellEnd"/>
      <w:proofErr w:type="gramEnd"/>
      <w:r w:rsidRPr="002E379A">
        <w:rPr>
          <w:rFonts w:ascii="Avenir Book" w:hAnsi="Avenir Book"/>
          <w:sz w:val="24"/>
          <w:szCs w:val="24"/>
        </w:rPr>
        <w:t xml:space="preserve"> and I am the Director of the Office of Policy at OCALI. By way of background, the General Assembly established OCALI in 2005 to serve as Ohio’s clearinghouse of information, professional development and technical assistance for autism and low incidence disabilities</w:t>
      </w:r>
      <w:r w:rsidR="00F429E4">
        <w:rPr>
          <w:rFonts w:ascii="Avenir Book" w:hAnsi="Avenir Book"/>
          <w:sz w:val="24"/>
          <w:szCs w:val="24"/>
        </w:rPr>
        <w:t>, including deafness and blindness</w:t>
      </w:r>
      <w:r w:rsidR="002E379A" w:rsidRPr="002E379A">
        <w:rPr>
          <w:rFonts w:ascii="Avenir Book" w:hAnsi="Avenir Book"/>
          <w:sz w:val="24"/>
          <w:szCs w:val="24"/>
        </w:rPr>
        <w:t xml:space="preserve">. </w:t>
      </w:r>
    </w:p>
    <w:p w14:paraId="300A3634" w14:textId="13FF47A2" w:rsidR="002E379A" w:rsidRPr="002E379A" w:rsidRDefault="002E379A" w:rsidP="002E379A">
      <w:pPr>
        <w:spacing w:after="0" w:line="240" w:lineRule="auto"/>
        <w:rPr>
          <w:rFonts w:ascii="Avenir Book" w:hAnsi="Avenir Book"/>
          <w:sz w:val="24"/>
          <w:szCs w:val="24"/>
        </w:rPr>
      </w:pPr>
      <w:r w:rsidRPr="002E379A">
        <w:rPr>
          <w:rFonts w:ascii="Avenir Book" w:hAnsi="Avenir Book"/>
          <w:sz w:val="24"/>
          <w:szCs w:val="24"/>
        </w:rPr>
        <w:t xml:space="preserve">OCALI’s Outreach Center for Deafness and Blindness exists to increase access, communication and equity for Ohioans who are deaf, hard of hearing, blind, or visually impaired. </w:t>
      </w:r>
      <w:r w:rsidRPr="002E379A">
        <w:rPr>
          <w:rFonts w:ascii="Avenir Book" w:hAnsi="Avenir Book"/>
          <w:sz w:val="24"/>
          <w:szCs w:val="24"/>
        </w:rPr>
        <w:t>At the core of OCALI’s work is the belief that all people can live their best lives for their whole lives.</w:t>
      </w:r>
    </w:p>
    <w:p w14:paraId="6B91DDC8" w14:textId="77777777" w:rsidR="002E379A" w:rsidRPr="002E379A" w:rsidRDefault="002E379A" w:rsidP="002E379A">
      <w:pPr>
        <w:spacing w:after="0" w:line="240" w:lineRule="auto"/>
        <w:rPr>
          <w:rFonts w:ascii="Avenir Book" w:eastAsia="Times New Roman" w:hAnsi="Avenir Book" w:cs="Times New Roman"/>
          <w:sz w:val="24"/>
          <w:szCs w:val="24"/>
        </w:rPr>
      </w:pPr>
    </w:p>
    <w:p w14:paraId="7F2727B4" w14:textId="091453E7" w:rsidR="00F429E4" w:rsidRPr="002E379A" w:rsidRDefault="002E379A" w:rsidP="004C51A7">
      <w:pPr>
        <w:spacing w:after="0" w:line="240" w:lineRule="auto"/>
        <w:rPr>
          <w:rFonts w:ascii="Avenir Book" w:hAnsi="Avenir Book"/>
          <w:sz w:val="24"/>
          <w:szCs w:val="24"/>
        </w:rPr>
      </w:pPr>
      <w:r>
        <w:rPr>
          <w:rFonts w:ascii="Avenir Book" w:hAnsi="Avenir Book"/>
          <w:sz w:val="24"/>
          <w:szCs w:val="24"/>
        </w:rPr>
        <w:t xml:space="preserve">Partnership is also at the core of OCALI’s work. </w:t>
      </w:r>
      <w:r w:rsidR="00C574E4" w:rsidRPr="002E379A">
        <w:rPr>
          <w:rFonts w:ascii="Avenir Book" w:hAnsi="Avenir Book"/>
          <w:sz w:val="24"/>
          <w:szCs w:val="24"/>
        </w:rPr>
        <w:t>This testimony is offered not only by OCALI, but</w:t>
      </w:r>
      <w:r w:rsidR="00F429E4">
        <w:rPr>
          <w:rFonts w:ascii="Avenir Book" w:hAnsi="Avenir Book"/>
          <w:sz w:val="24"/>
          <w:szCs w:val="24"/>
        </w:rPr>
        <w:t xml:space="preserve"> also</w:t>
      </w:r>
      <w:r w:rsidR="00C574E4" w:rsidRPr="002E379A">
        <w:rPr>
          <w:rFonts w:ascii="Avenir Book" w:hAnsi="Avenir Book"/>
          <w:sz w:val="24"/>
          <w:szCs w:val="24"/>
        </w:rPr>
        <w:t xml:space="preserve"> on behalf of</w:t>
      </w:r>
      <w:r w:rsidR="00F429E4">
        <w:rPr>
          <w:rFonts w:ascii="Avenir Book" w:hAnsi="Avenir Book"/>
          <w:sz w:val="24"/>
          <w:szCs w:val="24"/>
        </w:rPr>
        <w:t xml:space="preserve"> The Arc of Ohio and American Council of the Blind, Ohio.</w:t>
      </w:r>
    </w:p>
    <w:p w14:paraId="7AA7B8BD" w14:textId="77777777" w:rsidR="00C574E4" w:rsidRPr="002E379A" w:rsidRDefault="00C574E4" w:rsidP="00C574E4">
      <w:pPr>
        <w:pStyle w:val="NormalWeb"/>
        <w:adjustRightInd w:val="0"/>
        <w:snapToGrid w:val="0"/>
        <w:spacing w:before="0" w:beforeAutospacing="0" w:after="0" w:afterAutospacing="0"/>
        <w:rPr>
          <w:rFonts w:ascii="Avenir Book" w:hAnsi="Avenir Book"/>
        </w:rPr>
      </w:pPr>
    </w:p>
    <w:p w14:paraId="0C3B1A35" w14:textId="283AE925" w:rsidR="002E379A" w:rsidRDefault="002E379A" w:rsidP="002E379A">
      <w:pPr>
        <w:spacing w:after="0" w:line="240" w:lineRule="auto"/>
        <w:rPr>
          <w:rFonts w:ascii="Avenir Book" w:hAnsi="Avenir Book"/>
          <w:color w:val="1B1B1B"/>
          <w:sz w:val="24"/>
          <w:szCs w:val="24"/>
          <w:shd w:val="clear" w:color="auto" w:fill="FFFFFF"/>
        </w:rPr>
      </w:pPr>
      <w:r>
        <w:rPr>
          <w:rFonts w:ascii="Avenir Book" w:hAnsi="Avenir Book"/>
          <w:sz w:val="24"/>
          <w:szCs w:val="24"/>
        </w:rPr>
        <w:t>Ten years ago, the</w:t>
      </w:r>
      <w:r w:rsidRPr="002E379A">
        <w:rPr>
          <w:rFonts w:ascii="Avenir Book" w:hAnsi="Avenir Book"/>
          <w:sz w:val="24"/>
          <w:szCs w:val="24"/>
        </w:rPr>
        <w:t xml:space="preserve"> US Congress passed </w:t>
      </w:r>
      <w:r w:rsidRPr="002E379A">
        <w:rPr>
          <w:rFonts w:ascii="Avenir Book" w:eastAsia="Times New Roman" w:hAnsi="Avenir Book" w:cs="Times New Roman"/>
          <w:color w:val="1B1B1B"/>
          <w:sz w:val="24"/>
          <w:szCs w:val="24"/>
          <w:shd w:val="clear" w:color="auto" w:fill="FFFFFF"/>
        </w:rPr>
        <w:t>the Food and Drug Administration Safety and Innovation Act</w:t>
      </w:r>
      <w:r>
        <w:rPr>
          <w:rFonts w:ascii="Avenir Book" w:eastAsia="Times New Roman" w:hAnsi="Avenir Book" w:cs="Times New Roman"/>
          <w:color w:val="1B1B1B"/>
          <w:sz w:val="24"/>
          <w:szCs w:val="24"/>
          <w:shd w:val="clear" w:color="auto" w:fill="FFFFFF"/>
        </w:rPr>
        <w:t xml:space="preserve"> (“the Act”)</w:t>
      </w:r>
      <w:r w:rsidRPr="002E379A">
        <w:rPr>
          <w:rFonts w:ascii="Avenir Book" w:eastAsia="Times New Roman" w:hAnsi="Avenir Book" w:cs="Times New Roman"/>
          <w:color w:val="1B1B1B"/>
          <w:sz w:val="24"/>
          <w:szCs w:val="24"/>
          <w:shd w:val="clear" w:color="auto" w:fill="FFFFFF"/>
        </w:rPr>
        <w:t xml:space="preserve"> (Pub. L. 112-144, 126 Stat. 993)</w:t>
      </w:r>
      <w:r w:rsidRPr="002E379A">
        <w:rPr>
          <w:rFonts w:ascii="Avenir Book" w:eastAsia="Times New Roman" w:hAnsi="Avenir Book" w:cs="Times New Roman"/>
          <w:color w:val="1B1B1B"/>
          <w:sz w:val="24"/>
          <w:szCs w:val="24"/>
          <w:shd w:val="clear" w:color="auto" w:fill="FFFFFF"/>
        </w:rPr>
        <w:t xml:space="preserve">. </w:t>
      </w:r>
      <w:r w:rsidRPr="002E379A">
        <w:rPr>
          <w:rFonts w:ascii="Avenir Book" w:hAnsi="Avenir Book"/>
          <w:color w:val="1B1B1B"/>
          <w:sz w:val="24"/>
          <w:szCs w:val="24"/>
          <w:shd w:val="clear" w:color="auto" w:fill="FFFFFF"/>
        </w:rPr>
        <w:t>Section 904 of the Act</w:t>
      </w:r>
      <w:r w:rsidRPr="002E379A">
        <w:rPr>
          <w:rFonts w:ascii="Avenir Book" w:hAnsi="Avenir Book"/>
          <w:color w:val="1B1B1B"/>
          <w:sz w:val="24"/>
          <w:szCs w:val="24"/>
          <w:shd w:val="clear" w:color="auto" w:fill="FFFFFF"/>
        </w:rPr>
        <w:t xml:space="preserve"> </w:t>
      </w:r>
      <w:r w:rsidRPr="002E379A">
        <w:rPr>
          <w:rFonts w:ascii="Avenir Book" w:hAnsi="Avenir Book"/>
          <w:color w:val="1B1B1B"/>
          <w:sz w:val="24"/>
          <w:szCs w:val="24"/>
          <w:shd w:val="clear" w:color="auto" w:fill="FFFFFF"/>
        </w:rPr>
        <w:t>authorized</w:t>
      </w:r>
      <w:r w:rsidRPr="002E379A">
        <w:rPr>
          <w:rFonts w:ascii="Avenir Book" w:hAnsi="Avenir Book"/>
          <w:color w:val="1B1B1B"/>
          <w:sz w:val="24"/>
          <w:szCs w:val="24"/>
          <w:shd w:val="clear" w:color="auto" w:fill="FFFFFF"/>
        </w:rPr>
        <w:t xml:space="preserve"> the</w:t>
      </w:r>
      <w:r w:rsidRPr="002E379A">
        <w:rPr>
          <w:rFonts w:ascii="Avenir Book" w:hAnsi="Avenir Book"/>
          <w:color w:val="1B1B1B"/>
          <w:sz w:val="24"/>
          <w:szCs w:val="24"/>
          <w:shd w:val="clear" w:color="auto" w:fill="FFFFFF"/>
        </w:rPr>
        <w:t xml:space="preserve"> US</w:t>
      </w:r>
      <w:r w:rsidRPr="002E379A">
        <w:rPr>
          <w:rFonts w:ascii="Avenir Book" w:hAnsi="Avenir Book"/>
          <w:color w:val="1B1B1B"/>
          <w:sz w:val="24"/>
          <w:szCs w:val="24"/>
          <w:shd w:val="clear" w:color="auto" w:fill="FFFFFF"/>
        </w:rPr>
        <w:t xml:space="preserve"> Access Board</w:t>
      </w:r>
      <w:r w:rsidRPr="002E379A">
        <w:rPr>
          <w:rFonts w:ascii="Avenir Book" w:hAnsi="Avenir Book"/>
          <w:color w:val="1B1B1B"/>
          <w:sz w:val="24"/>
          <w:szCs w:val="24"/>
          <w:shd w:val="clear" w:color="auto" w:fill="FFFFFF"/>
        </w:rPr>
        <w:t xml:space="preserve">, </w:t>
      </w:r>
      <w:r w:rsidRPr="002E379A">
        <w:rPr>
          <w:rFonts w:ascii="Avenir Book" w:eastAsia="Times New Roman" w:hAnsi="Avenir Book" w:cs="Times New Roman"/>
          <w:color w:val="1B1B1B"/>
          <w:sz w:val="24"/>
          <w:szCs w:val="24"/>
          <w:shd w:val="clear" w:color="auto" w:fill="FFFFFF"/>
        </w:rPr>
        <w:t>an independent federal agency that promotes equality for people with disabilities</w:t>
      </w:r>
      <w:r w:rsidRPr="002E379A">
        <w:rPr>
          <w:rFonts w:ascii="Avenir Book" w:eastAsia="Times New Roman" w:hAnsi="Avenir Book" w:cs="Times New Roman"/>
          <w:sz w:val="24"/>
          <w:szCs w:val="24"/>
        </w:rPr>
        <w:t>,</w:t>
      </w:r>
      <w:r w:rsidRPr="002E379A">
        <w:rPr>
          <w:rFonts w:ascii="Avenir Book" w:hAnsi="Avenir Book"/>
          <w:color w:val="1B1B1B"/>
          <w:sz w:val="24"/>
          <w:szCs w:val="24"/>
          <w:shd w:val="clear" w:color="auto" w:fill="FFFFFF"/>
        </w:rPr>
        <w:t xml:space="preserve"> to convene </w:t>
      </w:r>
      <w:r w:rsidRPr="002E379A">
        <w:rPr>
          <w:rFonts w:ascii="Avenir Book" w:hAnsi="Avenir Book"/>
          <w:color w:val="1B1B1B"/>
          <w:sz w:val="24"/>
          <w:szCs w:val="24"/>
          <w:shd w:val="clear" w:color="auto" w:fill="FFFFFF"/>
        </w:rPr>
        <w:t xml:space="preserve">the Working Group on Accessible Prescription Drug Container Labels. </w:t>
      </w:r>
    </w:p>
    <w:p w14:paraId="276B5525" w14:textId="77777777" w:rsidR="002E379A" w:rsidRDefault="002E379A" w:rsidP="002E379A">
      <w:pPr>
        <w:spacing w:after="0" w:line="240" w:lineRule="auto"/>
        <w:rPr>
          <w:rFonts w:ascii="Avenir Book" w:hAnsi="Avenir Book"/>
          <w:color w:val="1B1B1B"/>
          <w:sz w:val="24"/>
          <w:szCs w:val="24"/>
          <w:shd w:val="clear" w:color="auto" w:fill="FFFFFF"/>
        </w:rPr>
      </w:pPr>
    </w:p>
    <w:p w14:paraId="5C23B3BF" w14:textId="1458FB04" w:rsidR="002E379A" w:rsidRPr="002E379A" w:rsidRDefault="002E379A" w:rsidP="002E379A">
      <w:pPr>
        <w:spacing w:after="0" w:line="240" w:lineRule="auto"/>
        <w:rPr>
          <w:rFonts w:ascii="Avenir Book" w:hAnsi="Avenir Book"/>
          <w:color w:val="1B1B1B"/>
          <w:sz w:val="24"/>
          <w:szCs w:val="24"/>
          <w:shd w:val="clear" w:color="auto" w:fill="FFFFFF"/>
        </w:rPr>
      </w:pPr>
      <w:r>
        <w:rPr>
          <w:rFonts w:ascii="Avenir Book" w:hAnsi="Avenir Book"/>
          <w:color w:val="1B1B1B"/>
          <w:sz w:val="24"/>
          <w:szCs w:val="24"/>
          <w:shd w:val="clear" w:color="auto" w:fill="FFFFFF"/>
        </w:rPr>
        <w:t>The</w:t>
      </w:r>
      <w:r w:rsidRPr="002E379A">
        <w:rPr>
          <w:rFonts w:ascii="Avenir Book" w:hAnsi="Avenir Book"/>
          <w:color w:val="1B1B1B"/>
          <w:sz w:val="24"/>
          <w:szCs w:val="24"/>
          <w:shd w:val="clear" w:color="auto" w:fill="FFFFFF"/>
        </w:rPr>
        <w:t xml:space="preserve"> 18-member stakeholder group</w:t>
      </w:r>
      <w:r w:rsidRPr="002E379A">
        <w:rPr>
          <w:rFonts w:ascii="Avenir Book" w:hAnsi="Avenir Book"/>
          <w:color w:val="1B1B1B"/>
          <w:sz w:val="24"/>
          <w:szCs w:val="24"/>
          <w:shd w:val="clear" w:color="auto" w:fill="FFFFFF"/>
        </w:rPr>
        <w:t xml:space="preserve"> </w:t>
      </w:r>
      <w:r w:rsidRPr="002E379A">
        <w:rPr>
          <w:rFonts w:ascii="Avenir Book" w:hAnsi="Avenir Book"/>
          <w:color w:val="1B1B1B"/>
          <w:sz w:val="24"/>
          <w:szCs w:val="24"/>
          <w:shd w:val="clear" w:color="auto" w:fill="FFFFFF"/>
        </w:rPr>
        <w:t xml:space="preserve">included </w:t>
      </w:r>
      <w:r w:rsidRPr="002E379A">
        <w:rPr>
          <w:rFonts w:ascii="Avenir Book" w:eastAsia="Times New Roman" w:hAnsi="Avenir Book" w:cs="Times New Roman"/>
          <w:color w:val="1B1B1B"/>
          <w:sz w:val="24"/>
          <w:szCs w:val="24"/>
          <w:shd w:val="clear" w:color="auto" w:fill="FFFFFF"/>
        </w:rPr>
        <w:t>representatives</w:t>
      </w:r>
      <w:r w:rsidRPr="002E379A">
        <w:rPr>
          <w:rFonts w:ascii="Avenir Book" w:eastAsia="Times New Roman" w:hAnsi="Avenir Book" w:cs="Times New Roman"/>
          <w:color w:val="1B1B1B"/>
          <w:sz w:val="24"/>
          <w:szCs w:val="24"/>
          <w:shd w:val="clear" w:color="auto" w:fill="FFFFFF"/>
        </w:rPr>
        <w:t xml:space="preserve"> from national </w:t>
      </w:r>
      <w:r>
        <w:rPr>
          <w:rFonts w:ascii="Avenir Book" w:eastAsia="Times New Roman" w:hAnsi="Avenir Book" w:cs="Times New Roman"/>
          <w:color w:val="1B1B1B"/>
          <w:sz w:val="24"/>
          <w:szCs w:val="24"/>
          <w:shd w:val="clear" w:color="auto" w:fill="FFFFFF"/>
        </w:rPr>
        <w:t xml:space="preserve">advocacy </w:t>
      </w:r>
      <w:r w:rsidRPr="002E379A">
        <w:rPr>
          <w:rFonts w:ascii="Avenir Book" w:eastAsia="Times New Roman" w:hAnsi="Avenir Book" w:cs="Times New Roman"/>
          <w:color w:val="1B1B1B"/>
          <w:sz w:val="24"/>
          <w:szCs w:val="24"/>
          <w:shd w:val="clear" w:color="auto" w:fill="FFFFFF"/>
        </w:rPr>
        <w:t>organizations as well as industry groups</w:t>
      </w:r>
      <w:r w:rsidRPr="002E379A">
        <w:rPr>
          <w:rFonts w:ascii="Avenir Book" w:eastAsia="Times New Roman" w:hAnsi="Avenir Book" w:cs="Times New Roman"/>
          <w:color w:val="1B1B1B"/>
          <w:sz w:val="24"/>
          <w:szCs w:val="24"/>
          <w:shd w:val="clear" w:color="auto" w:fill="FFFFFF"/>
        </w:rPr>
        <w:t xml:space="preserve">. They were </w:t>
      </w:r>
      <w:r w:rsidRPr="002E379A">
        <w:rPr>
          <w:rFonts w:ascii="Avenir Book" w:hAnsi="Avenir Book"/>
          <w:color w:val="1B1B1B"/>
          <w:sz w:val="24"/>
          <w:szCs w:val="24"/>
          <w:shd w:val="clear" w:color="auto" w:fill="FFFFFF"/>
        </w:rPr>
        <w:t xml:space="preserve">charged with </w:t>
      </w:r>
      <w:r w:rsidRPr="002E379A">
        <w:rPr>
          <w:rFonts w:ascii="Avenir Book" w:hAnsi="Avenir Book"/>
          <w:color w:val="1B1B1B"/>
          <w:sz w:val="24"/>
          <w:szCs w:val="24"/>
          <w:shd w:val="clear" w:color="auto" w:fill="FFFFFF"/>
        </w:rPr>
        <w:t>develop</w:t>
      </w:r>
      <w:r w:rsidRPr="002E379A">
        <w:rPr>
          <w:rFonts w:ascii="Avenir Book" w:hAnsi="Avenir Book"/>
          <w:color w:val="1B1B1B"/>
          <w:sz w:val="24"/>
          <w:szCs w:val="24"/>
          <w:shd w:val="clear" w:color="auto" w:fill="FFFFFF"/>
        </w:rPr>
        <w:t>ing</w:t>
      </w:r>
      <w:r w:rsidRPr="002E379A">
        <w:rPr>
          <w:rFonts w:ascii="Avenir Book" w:hAnsi="Avenir Book"/>
          <w:color w:val="1B1B1B"/>
          <w:sz w:val="24"/>
          <w:szCs w:val="24"/>
          <w:shd w:val="clear" w:color="auto" w:fill="FFFFFF"/>
        </w:rPr>
        <w:t xml:space="preserve"> best practices for making information on prescription drug container labels accessible to people who are blind</w:t>
      </w:r>
      <w:r>
        <w:rPr>
          <w:rFonts w:ascii="Avenir Book" w:hAnsi="Avenir Book"/>
          <w:color w:val="1B1B1B"/>
          <w:sz w:val="24"/>
          <w:szCs w:val="24"/>
          <w:shd w:val="clear" w:color="auto" w:fill="FFFFFF"/>
        </w:rPr>
        <w:t xml:space="preserve">, </w:t>
      </w:r>
      <w:r w:rsidRPr="002E379A">
        <w:rPr>
          <w:rFonts w:ascii="Avenir Book" w:hAnsi="Avenir Book"/>
          <w:color w:val="1B1B1B"/>
          <w:sz w:val="24"/>
          <w:szCs w:val="24"/>
          <w:shd w:val="clear" w:color="auto" w:fill="FFFFFF"/>
        </w:rPr>
        <w:t>visually impaired</w:t>
      </w:r>
      <w:r>
        <w:rPr>
          <w:rFonts w:ascii="Avenir Book" w:hAnsi="Avenir Book"/>
          <w:color w:val="1B1B1B"/>
          <w:sz w:val="24"/>
          <w:szCs w:val="24"/>
          <w:shd w:val="clear" w:color="auto" w:fill="FFFFFF"/>
        </w:rPr>
        <w:t>,</w:t>
      </w:r>
      <w:r w:rsidRPr="002E379A">
        <w:rPr>
          <w:rFonts w:ascii="Avenir Book" w:hAnsi="Avenir Book"/>
          <w:color w:val="1B1B1B"/>
          <w:sz w:val="24"/>
          <w:szCs w:val="24"/>
          <w:shd w:val="clear" w:color="auto" w:fill="FFFFFF"/>
        </w:rPr>
        <w:t xml:space="preserve"> or elderly.</w:t>
      </w:r>
    </w:p>
    <w:p w14:paraId="6CE7C6DA" w14:textId="77777777" w:rsidR="002E379A" w:rsidRPr="002E379A" w:rsidRDefault="002E379A">
      <w:pPr>
        <w:spacing w:after="0" w:line="240" w:lineRule="auto"/>
        <w:rPr>
          <w:rFonts w:ascii="Avenir Book" w:hAnsi="Avenir Book"/>
          <w:color w:val="1B1B1B"/>
          <w:sz w:val="24"/>
          <w:szCs w:val="24"/>
          <w:shd w:val="clear" w:color="auto" w:fill="FFFFFF"/>
        </w:rPr>
      </w:pPr>
    </w:p>
    <w:p w14:paraId="7EB33E08" w14:textId="77777777" w:rsidR="002E379A" w:rsidRDefault="002E379A">
      <w:pPr>
        <w:spacing w:after="0" w:line="240" w:lineRule="auto"/>
        <w:rPr>
          <w:rFonts w:ascii="Avenir Book" w:hAnsi="Avenir Book"/>
          <w:color w:val="1B1B1B"/>
          <w:sz w:val="24"/>
          <w:szCs w:val="24"/>
          <w:shd w:val="clear" w:color="auto" w:fill="FFFFFF"/>
        </w:rPr>
      </w:pPr>
      <w:r w:rsidRPr="002E379A">
        <w:rPr>
          <w:rFonts w:ascii="Avenir Book" w:hAnsi="Avenir Book"/>
          <w:color w:val="1B1B1B"/>
          <w:sz w:val="24"/>
          <w:szCs w:val="24"/>
          <w:shd w:val="clear" w:color="auto" w:fill="FFFFFF"/>
        </w:rPr>
        <w:t>According to the working group, “</w:t>
      </w:r>
      <w:r w:rsidRPr="002E379A">
        <w:rPr>
          <w:rFonts w:ascii="Avenir Book" w:eastAsia="Times New Roman" w:hAnsi="Avenir Book" w:cs="Times New Roman"/>
          <w:color w:val="1B1B1B"/>
          <w:sz w:val="24"/>
          <w:szCs w:val="24"/>
          <w:shd w:val="clear" w:color="auto" w:fill="FFFFFF"/>
        </w:rPr>
        <w:t>Persons with visual impairments who cannot read print prescription drug container labels all too often report inadvertently taking the wrong medication, the wrong amount, at the wrong time, and under the wrong instructions</w:t>
      </w:r>
      <w:r w:rsidRPr="002E379A">
        <w:rPr>
          <w:rFonts w:ascii="Avenir Book" w:eastAsia="Times New Roman" w:hAnsi="Avenir Book" w:cs="Times New Roman"/>
          <w:color w:val="1B1B1B"/>
          <w:sz w:val="24"/>
          <w:szCs w:val="24"/>
          <w:shd w:val="clear" w:color="auto" w:fill="FFFFFF"/>
        </w:rPr>
        <w:t>..</w:t>
      </w:r>
      <w:r w:rsidRPr="002E379A">
        <w:rPr>
          <w:rFonts w:ascii="Avenir Book" w:eastAsia="Times New Roman" w:hAnsi="Avenir Book" w:cs="Times New Roman"/>
          <w:color w:val="1B1B1B"/>
          <w:sz w:val="24"/>
          <w:szCs w:val="24"/>
          <w:shd w:val="clear" w:color="auto" w:fill="FFFFFF"/>
        </w:rPr>
        <w:t>. Without having ready access to their prescription drug container label information, persons with visual impairments are also at risk of taking expired medications, of not being able to obtain refills in a timely manner, and of being unable to detect pharmacy errors.</w:t>
      </w:r>
      <w:r w:rsidRPr="002E379A">
        <w:rPr>
          <w:rFonts w:ascii="Avenir Book" w:hAnsi="Avenir Book"/>
          <w:color w:val="1B1B1B"/>
          <w:sz w:val="24"/>
          <w:szCs w:val="24"/>
          <w:shd w:val="clear" w:color="auto" w:fill="FFFFFF"/>
        </w:rPr>
        <w:t>”</w:t>
      </w:r>
    </w:p>
    <w:p w14:paraId="1B22465F" w14:textId="77777777" w:rsidR="002E379A" w:rsidRDefault="002E379A">
      <w:pPr>
        <w:spacing w:after="0" w:line="240" w:lineRule="auto"/>
        <w:rPr>
          <w:rFonts w:ascii="Avenir Book" w:hAnsi="Avenir Book"/>
          <w:color w:val="1B1B1B"/>
          <w:sz w:val="24"/>
          <w:szCs w:val="24"/>
          <w:shd w:val="clear" w:color="auto" w:fill="FFFFFF"/>
        </w:rPr>
      </w:pPr>
    </w:p>
    <w:p w14:paraId="3FC72BF4" w14:textId="2BB35DB7"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sidRPr="002E379A">
        <w:rPr>
          <w:rFonts w:ascii="Avenir Book" w:hAnsi="Avenir Book"/>
          <w:color w:val="1B1B1B"/>
          <w:sz w:val="24"/>
          <w:szCs w:val="24"/>
          <w:shd w:val="clear" w:color="auto" w:fill="FFFFFF"/>
        </w:rPr>
        <w:t xml:space="preserve">The Working Group recognized </w:t>
      </w:r>
      <w:r>
        <w:rPr>
          <w:rFonts w:ascii="Avenir Book" w:eastAsia="Times New Roman" w:hAnsi="Avenir Book" w:cs="Times New Roman"/>
          <w:color w:val="1B1B1B"/>
          <w:sz w:val="24"/>
          <w:szCs w:val="24"/>
          <w:shd w:val="clear" w:color="auto" w:fill="FFFFFF"/>
        </w:rPr>
        <w:t xml:space="preserve">that </w:t>
      </w:r>
      <w:r w:rsidRPr="002E379A">
        <w:rPr>
          <w:rFonts w:ascii="Avenir Book" w:eastAsia="Times New Roman" w:hAnsi="Avenir Book" w:cs="Times New Roman"/>
          <w:color w:val="1B1B1B"/>
          <w:sz w:val="24"/>
          <w:szCs w:val="24"/>
          <w:shd w:val="clear" w:color="auto" w:fill="FFFFFF"/>
        </w:rPr>
        <w:t xml:space="preserve">key to providing accessible prescription drug container labels is patient-centered communication between pharmacists and patients with blindness </w:t>
      </w:r>
      <w:r>
        <w:rPr>
          <w:rFonts w:ascii="Avenir Book" w:eastAsia="Times New Roman" w:hAnsi="Avenir Book" w:cs="Times New Roman"/>
          <w:color w:val="1B1B1B"/>
          <w:sz w:val="24"/>
          <w:szCs w:val="24"/>
          <w:shd w:val="clear" w:color="auto" w:fill="FFFFFF"/>
        </w:rPr>
        <w:t>or</w:t>
      </w:r>
      <w:r w:rsidRPr="002E379A">
        <w:rPr>
          <w:rFonts w:ascii="Avenir Book" w:eastAsia="Times New Roman" w:hAnsi="Avenir Book" w:cs="Times New Roman"/>
          <w:color w:val="1B1B1B"/>
          <w:sz w:val="24"/>
          <w:szCs w:val="24"/>
          <w:shd w:val="clear" w:color="auto" w:fill="FFFFFF"/>
        </w:rPr>
        <w:t xml:space="preserve"> visual impairment and patient representatives. Because the extent of visual impairment varies from person to person, some patients may need prescription drug container labels in an audible format, while others may need braille, and still others may need large print. </w:t>
      </w:r>
    </w:p>
    <w:p w14:paraId="2F356C9C" w14:textId="2F9477B6"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4D3D3837" w14:textId="5552B6E6" w:rsidR="002E379A" w:rsidRPr="002E379A" w:rsidRDefault="002E379A" w:rsidP="002E379A">
      <w:pPr>
        <w:spacing w:after="0" w:line="240" w:lineRule="auto"/>
        <w:rPr>
          <w:rFonts w:ascii="Times New Roman" w:eastAsia="Times New Roman" w:hAnsi="Times New Roman" w:cs="Times New Roman"/>
          <w:sz w:val="24"/>
          <w:szCs w:val="24"/>
        </w:rPr>
      </w:pPr>
      <w:r>
        <w:rPr>
          <w:rFonts w:ascii="Avenir Book" w:eastAsia="Times New Roman" w:hAnsi="Avenir Book" w:cs="Times New Roman"/>
          <w:color w:val="1B1B1B"/>
          <w:sz w:val="24"/>
          <w:szCs w:val="24"/>
          <w:shd w:val="clear" w:color="auto" w:fill="FFFFFF"/>
        </w:rPr>
        <w:t xml:space="preserve">In 2013, the group issued a report and recommendation, including 34 “best practices” that promote access </w:t>
      </w:r>
      <w:r w:rsidRPr="002E379A">
        <w:rPr>
          <w:rFonts w:ascii="Helvetica Neue" w:eastAsia="Times New Roman" w:hAnsi="Helvetica Neue" w:cs="Times New Roman"/>
          <w:color w:val="1B1B1B"/>
          <w:sz w:val="25"/>
          <w:szCs w:val="25"/>
          <w:shd w:val="clear" w:color="auto" w:fill="FFFFFF"/>
        </w:rPr>
        <w:t>to prescription drug container label information</w:t>
      </w:r>
      <w:r>
        <w:rPr>
          <w:rFonts w:ascii="Helvetica Neue" w:eastAsia="Times New Roman" w:hAnsi="Helvetica Neue" w:cs="Times New Roman"/>
          <w:color w:val="1B1B1B"/>
          <w:sz w:val="25"/>
          <w:szCs w:val="25"/>
          <w:shd w:val="clear" w:color="auto" w:fill="FFFFFF"/>
        </w:rPr>
        <w:t>. Many of these “best practices” are reflected in HB448. For example, the best practices include</w:t>
      </w:r>
      <w:r>
        <w:rPr>
          <w:rFonts w:ascii="Times New Roman" w:eastAsia="Times New Roman" w:hAnsi="Times New Roman" w:cs="Times New Roman"/>
          <w:sz w:val="24"/>
          <w:szCs w:val="24"/>
        </w:rPr>
        <w:t>:</w:t>
      </w:r>
    </w:p>
    <w:p w14:paraId="163AEFC2" w14:textId="77777777" w:rsidR="002E379A" w:rsidRPr="002E379A" w:rsidRDefault="002E379A" w:rsidP="002E379A">
      <w:pPr>
        <w:widowControl/>
        <w:numPr>
          <w:ilvl w:val="0"/>
          <w:numId w:val="4"/>
        </w:numPr>
        <w:shd w:val="clear" w:color="auto" w:fill="FFFFFF"/>
        <w:autoSpaceDE/>
        <w:autoSpaceDN/>
        <w:spacing w:before="100" w:beforeAutospacing="1" w:after="100" w:afterAutospacing="1" w:line="240" w:lineRule="auto"/>
        <w:rPr>
          <w:rFonts w:ascii="Avenir Book" w:eastAsia="Times New Roman" w:hAnsi="Avenir Book" w:cs="Times New Roman"/>
          <w:color w:val="1B1B1B"/>
          <w:sz w:val="24"/>
          <w:szCs w:val="24"/>
        </w:rPr>
      </w:pPr>
      <w:r w:rsidRPr="002E379A">
        <w:rPr>
          <w:rFonts w:ascii="Avenir Book" w:eastAsia="Times New Roman" w:hAnsi="Avenir Book" w:cs="Times New Roman"/>
          <w:color w:val="1B1B1B"/>
          <w:sz w:val="24"/>
          <w:szCs w:val="24"/>
        </w:rPr>
        <w:t>Make available options for accessible prescription drug container labels in audible, braille, and large print formats via methods using, for example, hard copy, dedicated devices, and computers or smart devices.</w:t>
      </w:r>
    </w:p>
    <w:p w14:paraId="6E0CA90F" w14:textId="0567BCDF" w:rsidR="002E379A" w:rsidRPr="002E379A" w:rsidRDefault="002E379A" w:rsidP="002E379A">
      <w:pPr>
        <w:widowControl/>
        <w:numPr>
          <w:ilvl w:val="0"/>
          <w:numId w:val="4"/>
        </w:numPr>
        <w:shd w:val="clear" w:color="auto" w:fill="FFFFFF"/>
        <w:autoSpaceDE/>
        <w:autoSpaceDN/>
        <w:spacing w:before="100" w:beforeAutospacing="1" w:after="100" w:afterAutospacing="1" w:line="240" w:lineRule="auto"/>
        <w:rPr>
          <w:rFonts w:ascii="Avenir Book" w:eastAsia="Times New Roman" w:hAnsi="Avenir Book" w:cs="Times New Roman"/>
          <w:color w:val="1B1B1B"/>
          <w:sz w:val="24"/>
          <w:szCs w:val="24"/>
        </w:rPr>
      </w:pPr>
      <w:r w:rsidRPr="002E379A">
        <w:rPr>
          <w:rFonts w:ascii="Avenir Book" w:eastAsia="Times New Roman" w:hAnsi="Avenir Book" w:cs="Times New Roman"/>
          <w:color w:val="1B1B1B"/>
          <w:sz w:val="24"/>
          <w:szCs w:val="24"/>
        </w:rPr>
        <w:t xml:space="preserve">Explain to the patient the available accessible prescription drug container label format </w:t>
      </w:r>
      <w:proofErr w:type="gramStart"/>
      <w:r w:rsidRPr="002E379A">
        <w:rPr>
          <w:rFonts w:ascii="Avenir Book" w:eastAsia="Times New Roman" w:hAnsi="Avenir Book" w:cs="Times New Roman"/>
          <w:color w:val="1B1B1B"/>
          <w:sz w:val="24"/>
          <w:szCs w:val="24"/>
        </w:rPr>
        <w:t>options, and</w:t>
      </w:r>
      <w:proofErr w:type="gramEnd"/>
      <w:r w:rsidRPr="002E379A">
        <w:rPr>
          <w:rFonts w:ascii="Avenir Book" w:eastAsia="Times New Roman" w:hAnsi="Avenir Book" w:cs="Times New Roman"/>
          <w:color w:val="1B1B1B"/>
          <w:sz w:val="24"/>
          <w:szCs w:val="24"/>
        </w:rPr>
        <w:t xml:space="preserve"> provide the prescription drug container label in the format option selected by the patient.</w:t>
      </w:r>
    </w:p>
    <w:p w14:paraId="6A99DFB6" w14:textId="77777777" w:rsidR="002E379A" w:rsidRPr="002E379A" w:rsidRDefault="002E379A" w:rsidP="002E379A">
      <w:pPr>
        <w:widowControl/>
        <w:numPr>
          <w:ilvl w:val="0"/>
          <w:numId w:val="4"/>
        </w:numPr>
        <w:shd w:val="clear" w:color="auto" w:fill="FFFFFF"/>
        <w:autoSpaceDE/>
        <w:autoSpaceDN/>
        <w:spacing w:before="100" w:beforeAutospacing="1" w:after="100" w:afterAutospacing="1" w:line="240" w:lineRule="auto"/>
        <w:rPr>
          <w:rFonts w:ascii="Avenir Book" w:eastAsia="Times New Roman" w:hAnsi="Avenir Book" w:cs="Times New Roman"/>
          <w:color w:val="1B1B1B"/>
          <w:sz w:val="24"/>
          <w:szCs w:val="24"/>
        </w:rPr>
      </w:pPr>
      <w:r w:rsidRPr="002E379A">
        <w:rPr>
          <w:rFonts w:ascii="Avenir Book" w:eastAsia="Times New Roman" w:hAnsi="Avenir Book" w:cs="Times New Roman"/>
          <w:color w:val="1B1B1B"/>
          <w:sz w:val="24"/>
          <w:szCs w:val="24"/>
        </w:rPr>
        <w:t>Do not impose a surcharge or extra fee to an individual to cover the cost of providing an accessible drug container label and equipment dedicated for prescription drug container label access.</w:t>
      </w:r>
    </w:p>
    <w:p w14:paraId="2802C400" w14:textId="77777777" w:rsidR="002E379A" w:rsidRPr="002E379A" w:rsidRDefault="002E379A" w:rsidP="002E379A">
      <w:pPr>
        <w:widowControl/>
        <w:numPr>
          <w:ilvl w:val="0"/>
          <w:numId w:val="4"/>
        </w:numPr>
        <w:shd w:val="clear" w:color="auto" w:fill="FFFFFF"/>
        <w:autoSpaceDE/>
        <w:autoSpaceDN/>
        <w:spacing w:before="100" w:beforeAutospacing="1" w:after="100" w:afterAutospacing="1" w:line="240" w:lineRule="auto"/>
        <w:rPr>
          <w:rFonts w:ascii="Avenir Book" w:eastAsia="Times New Roman" w:hAnsi="Avenir Book" w:cs="Times New Roman"/>
          <w:color w:val="1B1B1B"/>
          <w:sz w:val="24"/>
          <w:szCs w:val="24"/>
        </w:rPr>
      </w:pPr>
      <w:r w:rsidRPr="002E379A">
        <w:rPr>
          <w:rFonts w:ascii="Avenir Book" w:eastAsia="Times New Roman" w:hAnsi="Avenir Book" w:cs="Times New Roman"/>
          <w:color w:val="1B1B1B"/>
          <w:sz w:val="24"/>
          <w:szCs w:val="24"/>
        </w:rPr>
        <w:t>For all accessible label formats, including audible formats, ensure that all required information contained on the print prescription drug container label is provided on the accessible label in the same sequence as the print label.</w:t>
      </w:r>
    </w:p>
    <w:p w14:paraId="57DB59F1" w14:textId="7D792699" w:rsidR="002E379A" w:rsidRPr="002E379A" w:rsidRDefault="002E379A" w:rsidP="002E379A">
      <w:pPr>
        <w:widowControl/>
        <w:numPr>
          <w:ilvl w:val="0"/>
          <w:numId w:val="4"/>
        </w:numPr>
        <w:shd w:val="clear" w:color="auto" w:fill="FFFFFF"/>
        <w:autoSpaceDE/>
        <w:autoSpaceDN/>
        <w:spacing w:before="100" w:beforeAutospacing="1" w:after="100" w:afterAutospacing="1" w:line="240" w:lineRule="auto"/>
        <w:rPr>
          <w:rFonts w:ascii="Avenir Book" w:eastAsia="Times New Roman" w:hAnsi="Avenir Book" w:cs="Times New Roman"/>
          <w:color w:val="1B1B1B"/>
          <w:sz w:val="24"/>
          <w:szCs w:val="24"/>
        </w:rPr>
      </w:pPr>
      <w:r w:rsidRPr="002E379A">
        <w:rPr>
          <w:rFonts w:ascii="Avenir Book" w:eastAsia="Times New Roman" w:hAnsi="Avenir Book" w:cs="Times New Roman"/>
          <w:color w:val="1B1B1B"/>
          <w:sz w:val="24"/>
          <w:szCs w:val="24"/>
        </w:rPr>
        <w:t>Include in accessible prescription drug container labels the information on warning labels added to the container at the pharmacist’s discretion.</w:t>
      </w:r>
    </w:p>
    <w:p w14:paraId="02A74AE2" w14:textId="77777777" w:rsidR="002E379A" w:rsidRDefault="002E379A" w:rsidP="002E379A">
      <w:pPr>
        <w:pStyle w:val="Heading1"/>
        <w:shd w:val="clear" w:color="auto" w:fill="FFFFFF"/>
        <w:spacing w:before="0" w:beforeAutospacing="0" w:after="180" w:afterAutospacing="0"/>
        <w:rPr>
          <w:rFonts w:ascii="Avenir Book" w:hAnsi="Avenir Book"/>
          <w:b w:val="0"/>
          <w:bCs w:val="0"/>
          <w:color w:val="1B1B1B"/>
          <w:sz w:val="24"/>
          <w:szCs w:val="24"/>
          <w:shd w:val="clear" w:color="auto" w:fill="FFFFFF"/>
        </w:rPr>
      </w:pPr>
      <w:r>
        <w:rPr>
          <w:rFonts w:ascii="Avenir Book" w:hAnsi="Avenir Book"/>
          <w:b w:val="0"/>
          <w:bCs w:val="0"/>
          <w:color w:val="1B1B1B"/>
          <w:sz w:val="24"/>
          <w:szCs w:val="24"/>
          <w:shd w:val="clear" w:color="auto" w:fill="FFFFFF"/>
        </w:rPr>
        <w:t>The Working Groups “best practices” were just that – best practices. They were not mandatory or legislated in any way.</w:t>
      </w:r>
    </w:p>
    <w:p w14:paraId="5E97DC7E" w14:textId="61D5E2F1" w:rsidR="002E379A" w:rsidRDefault="002E379A" w:rsidP="002E379A">
      <w:pPr>
        <w:pStyle w:val="Heading1"/>
        <w:shd w:val="clear" w:color="auto" w:fill="FFFFFF"/>
        <w:spacing w:before="0" w:beforeAutospacing="0" w:after="180" w:afterAutospacing="0"/>
        <w:rPr>
          <w:rFonts w:ascii="Avenir Book" w:hAnsi="Avenir Book"/>
          <w:b w:val="0"/>
          <w:bCs w:val="0"/>
          <w:color w:val="212121"/>
          <w:sz w:val="24"/>
          <w:szCs w:val="24"/>
        </w:rPr>
      </w:pPr>
      <w:r>
        <w:rPr>
          <w:rFonts w:ascii="Avenir Book" w:hAnsi="Avenir Book"/>
          <w:b w:val="0"/>
          <w:bCs w:val="0"/>
          <w:color w:val="1B1B1B"/>
          <w:sz w:val="24"/>
          <w:szCs w:val="24"/>
          <w:shd w:val="clear" w:color="auto" w:fill="FFFFFF"/>
        </w:rPr>
        <w:t xml:space="preserve">In 2016, the </w:t>
      </w:r>
      <w:r w:rsidRPr="002E379A">
        <w:rPr>
          <w:rFonts w:ascii="Avenir Book" w:hAnsi="Avenir Book"/>
          <w:b w:val="0"/>
          <w:bCs w:val="0"/>
          <w:color w:val="1B1B1B"/>
          <w:sz w:val="24"/>
          <w:szCs w:val="24"/>
          <w:shd w:val="clear" w:color="auto" w:fill="FFFFFF"/>
        </w:rPr>
        <w:t>US Government Accountability Organization (GAO) review</w:t>
      </w:r>
      <w:r>
        <w:rPr>
          <w:rFonts w:ascii="Avenir Book" w:hAnsi="Avenir Book"/>
          <w:b w:val="0"/>
          <w:bCs w:val="0"/>
          <w:color w:val="1B1B1B"/>
          <w:sz w:val="24"/>
          <w:szCs w:val="24"/>
          <w:shd w:val="clear" w:color="auto" w:fill="FFFFFF"/>
        </w:rPr>
        <w:t>ed</w:t>
      </w:r>
      <w:r w:rsidRPr="002E379A">
        <w:rPr>
          <w:rFonts w:ascii="Avenir Book" w:hAnsi="Avenir Book"/>
          <w:b w:val="0"/>
          <w:bCs w:val="0"/>
          <w:color w:val="1B1B1B"/>
          <w:sz w:val="24"/>
          <w:szCs w:val="24"/>
          <w:shd w:val="clear" w:color="auto" w:fill="FFFFFF"/>
        </w:rPr>
        <w:t xml:space="preserve"> </w:t>
      </w:r>
      <w:r>
        <w:rPr>
          <w:rFonts w:ascii="Avenir Book" w:hAnsi="Avenir Book"/>
          <w:b w:val="0"/>
          <w:bCs w:val="0"/>
          <w:color w:val="1B1B1B"/>
          <w:sz w:val="24"/>
          <w:szCs w:val="24"/>
          <w:shd w:val="clear" w:color="auto" w:fill="FFFFFF"/>
        </w:rPr>
        <w:t>implementation of these best practices and issued</w:t>
      </w:r>
      <w:r w:rsidRPr="002E379A">
        <w:rPr>
          <w:rFonts w:ascii="Avenir Book" w:hAnsi="Avenir Book"/>
          <w:b w:val="0"/>
          <w:bCs w:val="0"/>
          <w:color w:val="1B1B1B"/>
          <w:sz w:val="24"/>
          <w:szCs w:val="24"/>
          <w:shd w:val="clear" w:color="auto" w:fill="FFFFFF"/>
        </w:rPr>
        <w:t xml:space="preserve"> “</w:t>
      </w:r>
      <w:r w:rsidRPr="002E379A">
        <w:rPr>
          <w:rFonts w:ascii="Avenir Book" w:hAnsi="Avenir Book"/>
          <w:b w:val="0"/>
          <w:bCs w:val="0"/>
          <w:color w:val="212121"/>
          <w:sz w:val="24"/>
          <w:szCs w:val="24"/>
        </w:rPr>
        <w:t>Prescription Drug Labels:</w:t>
      </w:r>
      <w:r>
        <w:rPr>
          <w:rFonts w:ascii="Avenir Book" w:hAnsi="Avenir Book"/>
          <w:b w:val="0"/>
          <w:bCs w:val="0"/>
          <w:color w:val="212121"/>
          <w:sz w:val="24"/>
          <w:szCs w:val="24"/>
        </w:rPr>
        <w:t xml:space="preserve"> </w:t>
      </w:r>
      <w:r w:rsidRPr="002E379A">
        <w:rPr>
          <w:rFonts w:ascii="Avenir Book" w:hAnsi="Avenir Book"/>
          <w:b w:val="0"/>
          <w:bCs w:val="0"/>
          <w:color w:val="212121"/>
          <w:sz w:val="24"/>
          <w:szCs w:val="24"/>
        </w:rPr>
        <w:t>Actions Needed to Increase Awareness of Best Practices for Accessible Labels for Individuals Who are Blind or Visually Impaired</w:t>
      </w:r>
      <w:r>
        <w:rPr>
          <w:rFonts w:ascii="Avenir Book" w:hAnsi="Avenir Book"/>
          <w:b w:val="0"/>
          <w:bCs w:val="0"/>
          <w:color w:val="212121"/>
          <w:sz w:val="24"/>
          <w:szCs w:val="24"/>
        </w:rPr>
        <w:t xml:space="preserve">.” </w:t>
      </w:r>
    </w:p>
    <w:p w14:paraId="562D459E" w14:textId="037CA21C" w:rsidR="002E379A" w:rsidRDefault="002E379A" w:rsidP="002E379A">
      <w:pPr>
        <w:pStyle w:val="Heading1"/>
        <w:shd w:val="clear" w:color="auto" w:fill="FFFFFF"/>
        <w:spacing w:before="0" w:beforeAutospacing="0" w:after="180" w:afterAutospacing="0"/>
        <w:rPr>
          <w:rFonts w:ascii="Avenir Book" w:hAnsi="Avenir Book"/>
          <w:b w:val="0"/>
          <w:bCs w:val="0"/>
          <w:color w:val="212121"/>
          <w:sz w:val="24"/>
          <w:szCs w:val="24"/>
        </w:rPr>
      </w:pPr>
      <w:r>
        <w:rPr>
          <w:rFonts w:ascii="Avenir Book" w:hAnsi="Avenir Book"/>
          <w:b w:val="0"/>
          <w:bCs w:val="0"/>
          <w:color w:val="212121"/>
          <w:sz w:val="24"/>
          <w:szCs w:val="24"/>
        </w:rPr>
        <w:t>In conducting their audit, the GAO’s interviewed:</w:t>
      </w:r>
    </w:p>
    <w:p w14:paraId="1D7DA6CA" w14:textId="6C609481"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t>Four pharmacy benefit managers (PBM) that manage prescription drug benefits for the four largest private insurers that sponsor Medicare Part D plans based on enrollment as of March 2016</w:t>
      </w:r>
      <w:r>
        <w:rPr>
          <w:rFonts w:ascii="Avenir Book" w:hAnsi="Avenir Book"/>
          <w:b w:val="0"/>
          <w:bCs w:val="0"/>
          <w:color w:val="212121"/>
          <w:sz w:val="24"/>
          <w:szCs w:val="24"/>
        </w:rPr>
        <w:t>.</w:t>
      </w:r>
    </w:p>
    <w:p w14:paraId="2DF5079D" w14:textId="502DFBD8"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lastRenderedPageBreak/>
        <w:t>Nine of the ten largest chain pharmacy companies based on the number of retail pharmacy locations as of March 2016.</w:t>
      </w:r>
    </w:p>
    <w:p w14:paraId="0F23655D" w14:textId="07D68F9B"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t>Three of the largest pharmacy services administrative organizations (PSAO) based on the number of independent pharmacies in their retail pharmacy network as of 2011.</w:t>
      </w:r>
    </w:p>
    <w:p w14:paraId="4D4FD193" w14:textId="2B980BB1"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t>Four state pharmacy regulating bodies (e.g., state boards of pharmacy)</w:t>
      </w:r>
      <w:r>
        <w:rPr>
          <w:rFonts w:ascii="Avenir Book" w:hAnsi="Avenir Book"/>
          <w:b w:val="0"/>
          <w:bCs w:val="0"/>
          <w:color w:val="212121"/>
          <w:sz w:val="24"/>
          <w:szCs w:val="24"/>
        </w:rPr>
        <w:t xml:space="preserve"> – California, Florida, Illinois, and Massachusetts.</w:t>
      </w:r>
    </w:p>
    <w:p w14:paraId="5C01453F" w14:textId="37679B30"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t>Eighteen randomly selected individual retail pharmacy locations</w:t>
      </w:r>
      <w:r>
        <w:rPr>
          <w:rFonts w:ascii="Avenir Book" w:hAnsi="Avenir Book"/>
          <w:b w:val="0"/>
          <w:bCs w:val="0"/>
          <w:color w:val="212121"/>
          <w:sz w:val="24"/>
          <w:szCs w:val="24"/>
        </w:rPr>
        <w:t xml:space="preserve"> (in California, Florida, Illinois, and Massachusetts).</w:t>
      </w:r>
    </w:p>
    <w:p w14:paraId="1CB9636C" w14:textId="4A369883" w:rsidR="002E379A" w:rsidRDefault="002E379A" w:rsidP="002E379A">
      <w:pPr>
        <w:pStyle w:val="Heading1"/>
        <w:numPr>
          <w:ilvl w:val="0"/>
          <w:numId w:val="3"/>
        </w:numPr>
        <w:shd w:val="clear" w:color="auto" w:fill="FFFFFF"/>
        <w:spacing w:before="0" w:beforeAutospacing="0" w:after="180" w:afterAutospacing="0"/>
        <w:rPr>
          <w:rFonts w:ascii="Avenir Book" w:hAnsi="Avenir Book"/>
          <w:b w:val="0"/>
          <w:bCs w:val="0"/>
          <w:color w:val="212121"/>
          <w:sz w:val="24"/>
          <w:szCs w:val="24"/>
        </w:rPr>
      </w:pPr>
      <w:r w:rsidRPr="002E379A">
        <w:rPr>
          <w:rFonts w:ascii="Avenir Book" w:hAnsi="Avenir Book"/>
          <w:b w:val="0"/>
          <w:bCs w:val="0"/>
          <w:color w:val="212121"/>
          <w:sz w:val="24"/>
          <w:szCs w:val="24"/>
        </w:rPr>
        <w:t xml:space="preserve">Seventeen other stakeholders, including the U.S. Access Board and </w:t>
      </w:r>
      <w:r>
        <w:rPr>
          <w:rFonts w:ascii="Avenir Book" w:hAnsi="Avenir Book"/>
          <w:b w:val="0"/>
          <w:bCs w:val="0"/>
          <w:color w:val="212121"/>
          <w:sz w:val="24"/>
          <w:szCs w:val="24"/>
        </w:rPr>
        <w:t>National Council on Disability</w:t>
      </w:r>
      <w:r w:rsidRPr="002E379A">
        <w:rPr>
          <w:rFonts w:ascii="Avenir Book" w:hAnsi="Avenir Book"/>
          <w:b w:val="0"/>
          <w:bCs w:val="0"/>
          <w:color w:val="212121"/>
          <w:sz w:val="24"/>
          <w:szCs w:val="24"/>
        </w:rPr>
        <w:t>; pharmacy accreditation or standard-setting organizations; advocacy groups for individuals who are blind or visually impaired; industry groups that represent pharmacies, pharmacists, or physicians; and vendors that develop and sell technologies that produce accessible labels.</w:t>
      </w:r>
    </w:p>
    <w:p w14:paraId="649C8775" w14:textId="595B1518"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544B8D3D" w14:textId="5D80FABF"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Pr>
          <w:rFonts w:ascii="Avenir Book" w:eastAsia="Times New Roman" w:hAnsi="Avenir Book" w:cs="Times New Roman"/>
          <w:color w:val="1B1B1B"/>
          <w:sz w:val="24"/>
          <w:szCs w:val="24"/>
          <w:shd w:val="clear" w:color="auto" w:fill="FFFFFF"/>
        </w:rPr>
        <w:t xml:space="preserve">The GAO found, three years after the Working Group issued its best practices, access barriers remained. HB448 addresses many of the barriers identified by the GAO. </w:t>
      </w:r>
    </w:p>
    <w:p w14:paraId="620E6B4E" w14:textId="77777777"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16451429" w14:textId="66E2A16A"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Pr>
          <w:rFonts w:ascii="Avenir Book" w:eastAsia="Times New Roman" w:hAnsi="Avenir Book" w:cs="Times New Roman"/>
          <w:color w:val="1B1B1B"/>
          <w:sz w:val="24"/>
          <w:szCs w:val="24"/>
          <w:shd w:val="clear" w:color="auto" w:fill="FFFFFF"/>
        </w:rPr>
        <w:t>Specifically, the GAO audit revealed individuals who were blind or visually impaired generally did not know which pharmacies could provide accessible labels, stemming from limited or no efforts to advertise accessible labels in pharmacies. Under HB488, licensed terminal distributors of dangerous drugs will be required to provide this notice.</w:t>
      </w:r>
    </w:p>
    <w:p w14:paraId="1F5745A3" w14:textId="24ED43AB"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5CBC5237" w14:textId="77777777"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Pr>
          <w:rFonts w:ascii="Avenir Book" w:eastAsia="Times New Roman" w:hAnsi="Avenir Book" w:cs="Times New Roman"/>
          <w:color w:val="1B1B1B"/>
          <w:sz w:val="24"/>
          <w:szCs w:val="24"/>
          <w:shd w:val="clear" w:color="auto" w:fill="FFFFFF"/>
        </w:rPr>
        <w:t>The GAO also identified cost as a barrier to access. S</w:t>
      </w:r>
      <w:r w:rsidRPr="002E379A">
        <w:rPr>
          <w:rFonts w:ascii="Avenir Book" w:eastAsia="Times New Roman" w:hAnsi="Avenir Book" w:cs="Times New Roman"/>
          <w:color w:val="1B1B1B"/>
          <w:sz w:val="24"/>
          <w:szCs w:val="24"/>
          <w:shd w:val="clear" w:color="auto" w:fill="FFFFFF"/>
        </w:rPr>
        <w:t xml:space="preserve">ome </w:t>
      </w:r>
      <w:r>
        <w:rPr>
          <w:rFonts w:ascii="Avenir Book" w:eastAsia="Times New Roman" w:hAnsi="Avenir Book" w:cs="Times New Roman"/>
          <w:color w:val="1B1B1B"/>
          <w:sz w:val="24"/>
          <w:szCs w:val="24"/>
          <w:shd w:val="clear" w:color="auto" w:fill="FFFFFF"/>
        </w:rPr>
        <w:t>stakeholders indicated</w:t>
      </w:r>
      <w:r w:rsidRPr="002E379A">
        <w:rPr>
          <w:rFonts w:ascii="Avenir Book" w:eastAsia="Times New Roman" w:hAnsi="Avenir Book" w:cs="Times New Roman"/>
          <w:color w:val="1B1B1B"/>
          <w:sz w:val="24"/>
          <w:szCs w:val="24"/>
          <w:shd w:val="clear" w:color="auto" w:fill="FFFFFF"/>
        </w:rPr>
        <w:t xml:space="preserve"> financial support for pharmacies, such as third-party reimbursement, could address costs that pharmacies incur to provide accessible labels that meet the best practices. These stakeholders stated that there is currently no direct financial support for providing these labels</w:t>
      </w:r>
      <w:r>
        <w:rPr>
          <w:rFonts w:ascii="Avenir Book" w:eastAsia="Times New Roman" w:hAnsi="Avenir Book" w:cs="Times New Roman"/>
          <w:color w:val="1B1B1B"/>
          <w:sz w:val="24"/>
          <w:szCs w:val="24"/>
          <w:shd w:val="clear" w:color="auto" w:fill="FFFFFF"/>
        </w:rPr>
        <w:t xml:space="preserve">. </w:t>
      </w:r>
      <w:r w:rsidRPr="002E379A">
        <w:rPr>
          <w:rFonts w:ascii="Avenir Book" w:eastAsia="Times New Roman" w:hAnsi="Avenir Book" w:cs="Times New Roman"/>
          <w:color w:val="1B1B1B"/>
          <w:sz w:val="24"/>
          <w:szCs w:val="24"/>
          <w:shd w:val="clear" w:color="auto" w:fill="FFFFFF"/>
        </w:rPr>
        <w:t xml:space="preserve">Officials from four chain pharmacy companies told </w:t>
      </w:r>
      <w:r>
        <w:rPr>
          <w:rFonts w:ascii="Avenir Book" w:eastAsia="Times New Roman" w:hAnsi="Avenir Book" w:cs="Times New Roman"/>
          <w:color w:val="1B1B1B"/>
          <w:sz w:val="24"/>
          <w:szCs w:val="24"/>
          <w:shd w:val="clear" w:color="auto" w:fill="FFFFFF"/>
        </w:rPr>
        <w:t>the GAO</w:t>
      </w:r>
      <w:r w:rsidRPr="002E379A">
        <w:rPr>
          <w:rFonts w:ascii="Avenir Book" w:eastAsia="Times New Roman" w:hAnsi="Avenir Book" w:cs="Times New Roman"/>
          <w:color w:val="1B1B1B"/>
          <w:sz w:val="24"/>
          <w:szCs w:val="24"/>
          <w:shd w:val="clear" w:color="auto" w:fill="FFFFFF"/>
        </w:rPr>
        <w:t xml:space="preserve"> that pharmacies may be willing to provide accessible labels that meet the best practices if third parties, such as health plans, were willing to reimburse or share in the costs of producing these labels. </w:t>
      </w:r>
      <w:r>
        <w:rPr>
          <w:rFonts w:ascii="Avenir Book" w:eastAsia="Times New Roman" w:hAnsi="Avenir Book" w:cs="Times New Roman"/>
          <w:color w:val="1B1B1B"/>
          <w:sz w:val="24"/>
          <w:szCs w:val="24"/>
          <w:shd w:val="clear" w:color="auto" w:fill="FFFFFF"/>
        </w:rPr>
        <w:t>HB448 provides for this reimbursement.</w:t>
      </w:r>
    </w:p>
    <w:p w14:paraId="19B74630" w14:textId="77777777"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585AE6CB" w14:textId="1694EF4F" w:rsidR="002E379A" w:rsidRP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Pr>
          <w:rFonts w:ascii="Avenir Book" w:eastAsia="Times New Roman" w:hAnsi="Avenir Book" w:cs="Times New Roman"/>
          <w:color w:val="1B1B1B"/>
          <w:sz w:val="24"/>
          <w:szCs w:val="24"/>
          <w:shd w:val="clear" w:color="auto" w:fill="FFFFFF"/>
        </w:rPr>
        <w:t>Lastly, s</w:t>
      </w:r>
      <w:r w:rsidRPr="002E379A">
        <w:rPr>
          <w:rFonts w:ascii="Avenir Book" w:eastAsia="Times New Roman" w:hAnsi="Avenir Book" w:cs="Times New Roman"/>
          <w:color w:val="1B1B1B"/>
          <w:sz w:val="24"/>
          <w:szCs w:val="24"/>
          <w:shd w:val="clear" w:color="auto" w:fill="FFFFFF"/>
        </w:rPr>
        <w:t xml:space="preserve">takeholders </w:t>
      </w:r>
      <w:r>
        <w:rPr>
          <w:rFonts w:ascii="Avenir Book" w:eastAsia="Times New Roman" w:hAnsi="Avenir Book" w:cs="Times New Roman"/>
          <w:color w:val="1B1B1B"/>
          <w:sz w:val="24"/>
          <w:szCs w:val="24"/>
          <w:shd w:val="clear" w:color="auto" w:fill="FFFFFF"/>
        </w:rPr>
        <w:t xml:space="preserve">reported to the GAO </w:t>
      </w:r>
      <w:r w:rsidRPr="002E379A">
        <w:rPr>
          <w:rFonts w:ascii="Avenir Book" w:eastAsia="Times New Roman" w:hAnsi="Avenir Book" w:cs="Times New Roman"/>
          <w:color w:val="1B1B1B"/>
          <w:sz w:val="24"/>
          <w:szCs w:val="24"/>
          <w:shd w:val="clear" w:color="auto" w:fill="FFFFFF"/>
        </w:rPr>
        <w:t>that some pharmacies are not implementing the best practices, given an absence of requirements to do so by applicable corporate policies, contracts, state regulations, or accreditation standards.</w:t>
      </w:r>
      <w:r>
        <w:rPr>
          <w:rFonts w:ascii="Avenir Book" w:eastAsia="Times New Roman" w:hAnsi="Avenir Book" w:cs="Times New Roman"/>
          <w:color w:val="1B1B1B"/>
          <w:sz w:val="24"/>
          <w:szCs w:val="24"/>
          <w:shd w:val="clear" w:color="auto" w:fill="FFFFFF"/>
        </w:rPr>
        <w:t xml:space="preserve"> HB448 is certainly a significant step in implementing the best practices through state regulation.</w:t>
      </w:r>
    </w:p>
    <w:p w14:paraId="64141C04" w14:textId="7283A6C8"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3FA244FC" w14:textId="3C1BC342"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r>
        <w:rPr>
          <w:rFonts w:ascii="Avenir Book" w:eastAsia="Times New Roman" w:hAnsi="Avenir Book" w:cs="Times New Roman"/>
          <w:color w:val="1B1B1B"/>
          <w:sz w:val="24"/>
          <w:szCs w:val="24"/>
          <w:shd w:val="clear" w:color="auto" w:fill="FFFFFF"/>
        </w:rPr>
        <w:t xml:space="preserve">We applaud Representative Brown and his cosponsors for their work on this issue and promoting access for people who are blind, visually impaired, or have other print disabilities. We support these efforts and look forward to the day where access exists, not only </w:t>
      </w:r>
      <w:r w:rsidR="00765F7C">
        <w:rPr>
          <w:rFonts w:ascii="Avenir Book" w:eastAsia="Times New Roman" w:hAnsi="Avenir Book" w:cs="Times New Roman"/>
          <w:color w:val="1B1B1B"/>
          <w:sz w:val="24"/>
          <w:szCs w:val="24"/>
          <w:shd w:val="clear" w:color="auto" w:fill="FFFFFF"/>
        </w:rPr>
        <w:t>as it applies to</w:t>
      </w:r>
      <w:r>
        <w:rPr>
          <w:rFonts w:ascii="Avenir Book" w:eastAsia="Times New Roman" w:hAnsi="Avenir Book" w:cs="Times New Roman"/>
          <w:color w:val="1B1B1B"/>
          <w:sz w:val="24"/>
          <w:szCs w:val="24"/>
          <w:shd w:val="clear" w:color="auto" w:fill="FFFFFF"/>
        </w:rPr>
        <w:t xml:space="preserve"> </w:t>
      </w:r>
      <w:r w:rsidR="00765F7C">
        <w:rPr>
          <w:rFonts w:ascii="Avenir Book" w:eastAsia="Times New Roman" w:hAnsi="Avenir Book" w:cs="Times New Roman"/>
          <w:color w:val="1B1B1B"/>
          <w:sz w:val="24"/>
          <w:szCs w:val="24"/>
          <w:shd w:val="clear" w:color="auto" w:fill="FFFFFF"/>
        </w:rPr>
        <w:t>licensed terminal distributors of dangerous drugs</w:t>
      </w:r>
      <w:r>
        <w:rPr>
          <w:rFonts w:ascii="Avenir Book" w:eastAsia="Times New Roman" w:hAnsi="Avenir Book" w:cs="Times New Roman"/>
          <w:color w:val="1B1B1B"/>
          <w:sz w:val="24"/>
          <w:szCs w:val="24"/>
          <w:shd w:val="clear" w:color="auto" w:fill="FFFFFF"/>
        </w:rPr>
        <w:t xml:space="preserve">, but for all </w:t>
      </w:r>
      <w:r w:rsidR="00765F7C">
        <w:rPr>
          <w:rFonts w:ascii="Avenir Book" w:eastAsia="Times New Roman" w:hAnsi="Avenir Book" w:cs="Times New Roman"/>
          <w:color w:val="1B1B1B"/>
          <w:sz w:val="24"/>
          <w:szCs w:val="24"/>
          <w:shd w:val="clear" w:color="auto" w:fill="FFFFFF"/>
        </w:rPr>
        <w:t>prescriptions and all healthcare</w:t>
      </w:r>
      <w:r>
        <w:rPr>
          <w:rFonts w:ascii="Avenir Book" w:eastAsia="Times New Roman" w:hAnsi="Avenir Book" w:cs="Times New Roman"/>
          <w:color w:val="1B1B1B"/>
          <w:sz w:val="24"/>
          <w:szCs w:val="24"/>
          <w:shd w:val="clear" w:color="auto" w:fill="FFFFFF"/>
        </w:rPr>
        <w:t>.</w:t>
      </w:r>
    </w:p>
    <w:p w14:paraId="4F924DC1" w14:textId="77777777" w:rsidR="002E379A" w:rsidRDefault="002E379A" w:rsidP="002E379A">
      <w:pPr>
        <w:spacing w:after="0" w:line="240" w:lineRule="auto"/>
        <w:rPr>
          <w:rFonts w:ascii="Avenir Book" w:eastAsia="Times New Roman" w:hAnsi="Avenir Book" w:cs="Times New Roman"/>
          <w:color w:val="1B1B1B"/>
          <w:sz w:val="24"/>
          <w:szCs w:val="24"/>
          <w:shd w:val="clear" w:color="auto" w:fill="FFFFFF"/>
        </w:rPr>
      </w:pPr>
    </w:p>
    <w:p w14:paraId="68BEFF19" w14:textId="1BC0CEE9" w:rsidR="00C574E4" w:rsidRPr="002E379A" w:rsidRDefault="00C574E4" w:rsidP="00C574E4">
      <w:pPr>
        <w:spacing w:after="0" w:line="240" w:lineRule="auto"/>
        <w:rPr>
          <w:rFonts w:ascii="Avenir Book" w:eastAsia="Times New Roman" w:hAnsi="Avenir Book" w:cs="Times New Roman"/>
          <w:sz w:val="24"/>
          <w:szCs w:val="24"/>
        </w:rPr>
      </w:pPr>
      <w:r w:rsidRPr="002E379A">
        <w:rPr>
          <w:rFonts w:ascii="Avenir Book" w:hAnsi="Avenir Book"/>
          <w:sz w:val="24"/>
          <w:szCs w:val="24"/>
        </w:rPr>
        <w:t>Submitted by:</w:t>
      </w:r>
    </w:p>
    <w:p w14:paraId="024D61FD" w14:textId="77777777" w:rsidR="00C574E4" w:rsidRPr="002E379A" w:rsidRDefault="00C574E4" w:rsidP="00C574E4">
      <w:pPr>
        <w:spacing w:after="0" w:line="240" w:lineRule="auto"/>
        <w:rPr>
          <w:rFonts w:ascii="Avenir Book" w:hAnsi="Avenir Book"/>
          <w:sz w:val="24"/>
          <w:szCs w:val="24"/>
        </w:rPr>
      </w:pPr>
      <w:r w:rsidRPr="002E379A">
        <w:rPr>
          <w:rFonts w:ascii="Avenir Book" w:hAnsi="Avenir Book"/>
          <w:sz w:val="24"/>
          <w:szCs w:val="24"/>
        </w:rPr>
        <w:t xml:space="preserve">Teresa </w:t>
      </w:r>
      <w:proofErr w:type="spellStart"/>
      <w:r w:rsidRPr="002E379A">
        <w:rPr>
          <w:rFonts w:ascii="Avenir Book" w:hAnsi="Avenir Book"/>
          <w:sz w:val="24"/>
          <w:szCs w:val="24"/>
        </w:rPr>
        <w:t>Kobelt</w:t>
      </w:r>
      <w:proofErr w:type="spellEnd"/>
      <w:r w:rsidRPr="002E379A">
        <w:rPr>
          <w:rFonts w:ascii="Avenir Book" w:hAnsi="Avenir Book"/>
          <w:sz w:val="24"/>
          <w:szCs w:val="24"/>
        </w:rPr>
        <w:t>, Director, Office of Policy</w:t>
      </w:r>
    </w:p>
    <w:p w14:paraId="6DB4DCB5" w14:textId="77777777" w:rsidR="00C574E4" w:rsidRPr="002E379A" w:rsidRDefault="00C574E4" w:rsidP="00C574E4">
      <w:pPr>
        <w:spacing w:after="0" w:line="240" w:lineRule="auto"/>
        <w:rPr>
          <w:rFonts w:ascii="Avenir Book" w:hAnsi="Avenir Book"/>
          <w:sz w:val="24"/>
          <w:szCs w:val="24"/>
        </w:rPr>
      </w:pPr>
      <w:r w:rsidRPr="002E379A">
        <w:rPr>
          <w:rFonts w:ascii="Avenir Book" w:hAnsi="Avenir Book"/>
          <w:sz w:val="24"/>
          <w:szCs w:val="24"/>
        </w:rPr>
        <w:t>OCALI</w:t>
      </w:r>
    </w:p>
    <w:p w14:paraId="4E83F5A1" w14:textId="77777777" w:rsidR="00B53748" w:rsidRPr="002E379A" w:rsidRDefault="008C6558" w:rsidP="00C574E4">
      <w:pPr>
        <w:spacing w:after="0" w:line="240" w:lineRule="auto"/>
        <w:rPr>
          <w:rFonts w:ascii="Avenir Book" w:hAnsi="Avenir Book"/>
          <w:sz w:val="24"/>
          <w:szCs w:val="24"/>
        </w:rPr>
      </w:pPr>
      <w:hyperlink r:id="rId10" w:history="1">
        <w:r w:rsidR="00C574E4" w:rsidRPr="002E379A">
          <w:rPr>
            <w:rStyle w:val="Hyperlink"/>
            <w:rFonts w:ascii="Avenir Book" w:hAnsi="Avenir Book"/>
            <w:sz w:val="24"/>
            <w:szCs w:val="24"/>
          </w:rPr>
          <w:t>Teresa_kobelt@ocali.org</w:t>
        </w:r>
      </w:hyperlink>
    </w:p>
    <w:sectPr w:rsidR="00B53748" w:rsidRPr="002E379A" w:rsidSect="00654F34">
      <w:headerReference w:type="default" r:id="rId11"/>
      <w:footerReference w:type="even" r:id="rId12"/>
      <w:footerReference w:type="default" r:id="rId13"/>
      <w:type w:val="continuous"/>
      <w:pgSz w:w="12240" w:h="15840"/>
      <w:pgMar w:top="2168" w:right="1280" w:bottom="1054" w:left="980"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B788" w14:textId="77777777" w:rsidR="008C6558" w:rsidRDefault="008C6558" w:rsidP="00654F34">
      <w:pPr>
        <w:spacing w:after="0" w:line="240" w:lineRule="auto"/>
      </w:pPr>
      <w:r>
        <w:separator/>
      </w:r>
    </w:p>
  </w:endnote>
  <w:endnote w:type="continuationSeparator" w:id="0">
    <w:p w14:paraId="401C1B12" w14:textId="77777777" w:rsidR="008C6558" w:rsidRDefault="008C6558" w:rsidP="0065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altName w:val="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LTStd-Book">
    <w:altName w:val="Cambria"/>
    <w:panose1 w:val="020B0502020203020204"/>
    <w:charset w:val="00"/>
    <w:family w:val="roman"/>
    <w:notTrueType/>
    <w:pitch w:val="variable"/>
  </w:font>
  <w:font w:name="Georgia">
    <w:altName w:val="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427568"/>
      <w:docPartObj>
        <w:docPartGallery w:val="Page Numbers (Bottom of Page)"/>
        <w:docPartUnique/>
      </w:docPartObj>
    </w:sdtPr>
    <w:sdtEndPr>
      <w:rPr>
        <w:rStyle w:val="PageNumber"/>
      </w:rPr>
    </w:sdtEndPr>
    <w:sdtContent>
      <w:p w14:paraId="00B90149" w14:textId="5BAC404A" w:rsidR="00CD24EC" w:rsidRDefault="00CD24EC" w:rsidP="0083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A886E" w14:textId="77777777" w:rsidR="00CD24EC" w:rsidRDefault="00CD24EC" w:rsidP="00CD2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09433"/>
      <w:docPartObj>
        <w:docPartGallery w:val="Page Numbers (Bottom of Page)"/>
        <w:docPartUnique/>
      </w:docPartObj>
    </w:sdtPr>
    <w:sdtEndPr>
      <w:rPr>
        <w:rStyle w:val="PageNumber"/>
      </w:rPr>
    </w:sdtEndPr>
    <w:sdtContent>
      <w:p w14:paraId="1D30827C" w14:textId="3601E94B" w:rsidR="00CD24EC" w:rsidRDefault="00CD24EC" w:rsidP="0083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E35C973" w14:textId="77777777" w:rsidR="00CD24EC" w:rsidRDefault="00CD24EC" w:rsidP="00CD24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5499" w14:textId="77777777" w:rsidR="008C6558" w:rsidRDefault="008C6558" w:rsidP="00654F34">
      <w:pPr>
        <w:spacing w:after="0" w:line="240" w:lineRule="auto"/>
      </w:pPr>
      <w:r>
        <w:separator/>
      </w:r>
    </w:p>
  </w:footnote>
  <w:footnote w:type="continuationSeparator" w:id="0">
    <w:p w14:paraId="18656851" w14:textId="77777777" w:rsidR="008C6558" w:rsidRDefault="008C6558" w:rsidP="0065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AE20" w14:textId="77777777" w:rsidR="00654F34" w:rsidRPr="00E20191" w:rsidRDefault="00654F34" w:rsidP="00E20191">
    <w:pPr>
      <w:pStyle w:val="BodyText"/>
      <w:spacing w:before="49"/>
      <w:rPr>
        <w:rFonts w:ascii="Avenir LT Std 45 Book" w:hAnsi="Avenir LT Std 45 Book"/>
      </w:rPr>
    </w:pPr>
    <w:r w:rsidRPr="00E20191">
      <w:rPr>
        <w:rFonts w:ascii="Avenir LT Std 45 Book" w:hAnsi="Avenir LT Std 45 Book"/>
        <w:noProof/>
      </w:rPr>
      <w:drawing>
        <wp:anchor distT="0" distB="0" distL="0" distR="0" simplePos="0" relativeHeight="251659264" behindDoc="0" locked="0" layoutInCell="1" allowOverlap="1" wp14:anchorId="731EFE26" wp14:editId="0708E25B">
          <wp:simplePos x="0" y="0"/>
          <wp:positionH relativeFrom="page">
            <wp:posOffset>685800</wp:posOffset>
          </wp:positionH>
          <wp:positionV relativeFrom="paragraph">
            <wp:posOffset>136313</wp:posOffset>
          </wp:positionV>
          <wp:extent cx="1024130" cy="1966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4130" cy="196621"/>
                  </a:xfrm>
                  <a:prstGeom prst="rect">
                    <a:avLst/>
                  </a:prstGeom>
                </pic:spPr>
              </pic:pic>
            </a:graphicData>
          </a:graphic>
        </wp:anchor>
      </w:drawing>
    </w:r>
    <w:r w:rsidR="00B43F9D">
      <w:rPr>
        <w:noProof/>
      </w:rPr>
      <mc:AlternateContent>
        <mc:Choice Requires="wps">
          <w:drawing>
            <wp:anchor distT="0" distB="0" distL="114300" distR="114300" simplePos="0" relativeHeight="251660288" behindDoc="0" locked="0" layoutInCell="1" allowOverlap="1" wp14:anchorId="7AE07BEC" wp14:editId="10FEF5C9">
              <wp:simplePos x="0" y="0"/>
              <wp:positionH relativeFrom="page">
                <wp:posOffset>457200</wp:posOffset>
              </wp:positionH>
              <wp:positionV relativeFrom="page">
                <wp:posOffset>1022350</wp:posOffset>
              </wp:positionV>
              <wp:extent cx="6858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B59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0.5pt" to="8in,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" strokeweight="1pt">
              <o:lock v:ext="edit" shapetype="f"/>
              <w10:wrap anchorx="page" anchory="page"/>
            </v:line>
          </w:pict>
        </mc:Fallback>
      </mc:AlternateContent>
    </w:r>
    <w:r w:rsidR="00B43F9D">
      <w:rPr>
        <w:noProof/>
      </w:rPr>
      <mc:AlternateContent>
        <mc:Choice Requires="wps">
          <w:drawing>
            <wp:anchor distT="0" distB="0" distL="114300" distR="114300" simplePos="0" relativeHeight="251661312" behindDoc="0" locked="0" layoutInCell="1" allowOverlap="1" wp14:anchorId="2027ECF9" wp14:editId="36BAD4D7">
              <wp:simplePos x="0" y="0"/>
              <wp:positionH relativeFrom="page">
                <wp:posOffset>0</wp:posOffset>
              </wp:positionH>
              <wp:positionV relativeFrom="page">
                <wp:posOffset>9944100</wp:posOffset>
              </wp:positionV>
              <wp:extent cx="77724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1318" id="Rectangle 1" o:spid="_x0000_s1026" style="position:absolute;margin-left:0;margin-top:783pt;width:612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" fillcolor="black" stroked="f">
              <v:path arrowok="t"/>
              <w10:wrap anchorx="page" anchory="page"/>
            </v:rect>
          </w:pict>
        </mc:Fallback>
      </mc:AlternateContent>
    </w:r>
    <w:r w:rsidRPr="00E20191">
      <w:rPr>
        <w:rFonts w:ascii="Avenir LT Std 45 Book" w:hAnsi="Avenir LT Std 45 Book"/>
      </w:rPr>
      <w:t>470 Glenmont Avenue</w:t>
    </w:r>
    <w:r w:rsidR="00E20191" w:rsidRPr="00E20191">
      <w:rPr>
        <w:rFonts w:ascii="Avenir LT Std 45 Book" w:hAnsi="Avenir LT Std 45 Book"/>
      </w:rPr>
      <w:br/>
    </w:r>
    <w:r w:rsidRPr="00E20191">
      <w:rPr>
        <w:rFonts w:ascii="Avenir LT Std 45 Book" w:hAnsi="Avenir LT Std 45 Book"/>
      </w:rPr>
      <w:t>Columbus, OH 43214</w:t>
    </w:r>
    <w:r w:rsidR="00E20191" w:rsidRPr="00E20191">
      <w:rPr>
        <w:rFonts w:ascii="Avenir LT Std 45 Book" w:hAnsi="Avenir LT Std 45 Book"/>
      </w:rPr>
      <w:br/>
    </w:r>
    <w:r w:rsidRPr="00E20191">
      <w:rPr>
        <w:rFonts w:ascii="Avenir LT Std 45 Book" w:hAnsi="Avenir LT Std 45 Book"/>
      </w:rPr>
      <w:t>614.410.0321</w:t>
    </w:r>
  </w:p>
  <w:p w14:paraId="2966C597" w14:textId="77777777" w:rsidR="00654F34" w:rsidRPr="00E20191" w:rsidRDefault="0065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4FAA"/>
    <w:multiLevelType w:val="multilevel"/>
    <w:tmpl w:val="E7D2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15D46"/>
    <w:multiLevelType w:val="multilevel"/>
    <w:tmpl w:val="1D9A1610"/>
    <w:lvl w:ilvl="0">
      <w:start w:val="14"/>
      <w:numFmt w:val="bullet"/>
      <w:lvlText w:val="-"/>
      <w:lvlJc w:val="left"/>
      <w:pPr>
        <w:ind w:left="720" w:hanging="360"/>
      </w:pPr>
      <w:rPr>
        <w:rFonts w:ascii="Avenir Book" w:eastAsia="Times New Roman" w:hAnsi="Avenir Book"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F043F"/>
    <w:multiLevelType w:val="hybridMultilevel"/>
    <w:tmpl w:val="ABBE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7470A"/>
    <w:multiLevelType w:val="multilevel"/>
    <w:tmpl w:val="29F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3653B"/>
    <w:multiLevelType w:val="multilevel"/>
    <w:tmpl w:val="949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3221F"/>
    <w:multiLevelType w:val="hybridMultilevel"/>
    <w:tmpl w:val="507ACD14"/>
    <w:lvl w:ilvl="0" w:tplc="B37635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48"/>
    <w:rsid w:val="002A335A"/>
    <w:rsid w:val="002E379A"/>
    <w:rsid w:val="004C51A7"/>
    <w:rsid w:val="004E09AE"/>
    <w:rsid w:val="00654F34"/>
    <w:rsid w:val="006A62E0"/>
    <w:rsid w:val="00765F7C"/>
    <w:rsid w:val="008C6558"/>
    <w:rsid w:val="00AF6748"/>
    <w:rsid w:val="00B15765"/>
    <w:rsid w:val="00B2577E"/>
    <w:rsid w:val="00B43F9D"/>
    <w:rsid w:val="00B53748"/>
    <w:rsid w:val="00BA60E5"/>
    <w:rsid w:val="00C13EC7"/>
    <w:rsid w:val="00C574E4"/>
    <w:rsid w:val="00CD24EC"/>
    <w:rsid w:val="00E20191"/>
    <w:rsid w:val="00F21EF7"/>
    <w:rsid w:val="00F4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E1C6"/>
  <w15:docId w15:val="{2F7C832E-F5E5-A44B-85D0-1292688A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91"/>
    <w:pPr>
      <w:spacing w:after="240" w:line="240" w:lineRule="exact"/>
    </w:pPr>
    <w:rPr>
      <w:rFonts w:ascii="Avenir LT Std 45 Book" w:eastAsia="AvenirLTStd-Book" w:hAnsi="Avenir LT Std 45 Book" w:cs="AvenirLTStd-Book"/>
    </w:rPr>
  </w:style>
  <w:style w:type="paragraph" w:styleId="Heading1">
    <w:name w:val="heading 1"/>
    <w:basedOn w:val="Normal"/>
    <w:link w:val="Heading1Char"/>
    <w:uiPriority w:val="9"/>
    <w:qFormat/>
    <w:rsid w:val="002E379A"/>
    <w:pPr>
      <w:widowControl/>
      <w:autoSpaceDE/>
      <w:autoSpaceDN/>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2" w:lineRule="exact"/>
      <w:ind w:left="8458"/>
    </w:pPr>
    <w:rPr>
      <w:rFonts w:ascii="AvenirLTStd-Book" w:hAnsi="AvenirLTStd-Book"/>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4F34"/>
    <w:pPr>
      <w:tabs>
        <w:tab w:val="center" w:pos="4680"/>
        <w:tab w:val="right" w:pos="9360"/>
      </w:tabs>
    </w:pPr>
  </w:style>
  <w:style w:type="character" w:customStyle="1" w:styleId="HeaderChar">
    <w:name w:val="Header Char"/>
    <w:basedOn w:val="DefaultParagraphFont"/>
    <w:link w:val="Header"/>
    <w:uiPriority w:val="99"/>
    <w:rsid w:val="00654F34"/>
    <w:rPr>
      <w:rFonts w:ascii="AvenirLTStd-Book" w:eastAsia="AvenirLTStd-Book" w:hAnsi="AvenirLTStd-Book" w:cs="AvenirLTStd-Book"/>
    </w:rPr>
  </w:style>
  <w:style w:type="paragraph" w:styleId="Footer">
    <w:name w:val="footer"/>
    <w:basedOn w:val="Normal"/>
    <w:link w:val="FooterChar"/>
    <w:uiPriority w:val="99"/>
    <w:unhideWhenUsed/>
    <w:rsid w:val="00654F34"/>
    <w:pPr>
      <w:tabs>
        <w:tab w:val="center" w:pos="4680"/>
        <w:tab w:val="right" w:pos="9360"/>
      </w:tabs>
    </w:pPr>
  </w:style>
  <w:style w:type="character" w:customStyle="1" w:styleId="FooterChar">
    <w:name w:val="Footer Char"/>
    <w:basedOn w:val="DefaultParagraphFont"/>
    <w:link w:val="Footer"/>
    <w:uiPriority w:val="99"/>
    <w:rsid w:val="00654F34"/>
    <w:rPr>
      <w:rFonts w:ascii="AvenirLTStd-Book" w:eastAsia="AvenirLTStd-Book" w:hAnsi="AvenirLTStd-Book" w:cs="AvenirLTStd-Book"/>
    </w:rPr>
  </w:style>
  <w:style w:type="paragraph" w:styleId="NormalWeb">
    <w:name w:val="Normal (Web)"/>
    <w:basedOn w:val="Normal"/>
    <w:uiPriority w:val="99"/>
    <w:unhideWhenUsed/>
    <w:rsid w:val="00C574E4"/>
    <w:pPr>
      <w:widowControl/>
      <w:autoSpaceDE/>
      <w:autoSpaceDN/>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74E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4E4"/>
    <w:rPr>
      <w:color w:val="0000FF" w:themeColor="hyperlink"/>
      <w:u w:val="single"/>
    </w:rPr>
  </w:style>
  <w:style w:type="paragraph" w:styleId="FootnoteText">
    <w:name w:val="footnote text"/>
    <w:basedOn w:val="Normal"/>
    <w:link w:val="FootnoteTextChar"/>
    <w:uiPriority w:val="99"/>
    <w:semiHidden/>
    <w:unhideWhenUsed/>
    <w:rsid w:val="00C574E4"/>
    <w:pPr>
      <w:widowControl/>
      <w:autoSpaceDE/>
      <w:autoSpaceDN/>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74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4E4"/>
    <w:rPr>
      <w:vertAlign w:val="superscript"/>
    </w:rPr>
  </w:style>
  <w:style w:type="character" w:styleId="PageNumber">
    <w:name w:val="page number"/>
    <w:basedOn w:val="DefaultParagraphFont"/>
    <w:uiPriority w:val="99"/>
    <w:semiHidden/>
    <w:unhideWhenUsed/>
    <w:rsid w:val="00CD24EC"/>
  </w:style>
  <w:style w:type="character" w:customStyle="1" w:styleId="Heading1Char">
    <w:name w:val="Heading 1 Char"/>
    <w:basedOn w:val="DefaultParagraphFont"/>
    <w:link w:val="Heading1"/>
    <w:uiPriority w:val="9"/>
    <w:rsid w:val="002E37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990">
      <w:bodyDiv w:val="1"/>
      <w:marLeft w:val="0"/>
      <w:marRight w:val="0"/>
      <w:marTop w:val="0"/>
      <w:marBottom w:val="0"/>
      <w:divBdr>
        <w:top w:val="none" w:sz="0" w:space="0" w:color="auto"/>
        <w:left w:val="none" w:sz="0" w:space="0" w:color="auto"/>
        <w:bottom w:val="none" w:sz="0" w:space="0" w:color="auto"/>
        <w:right w:val="none" w:sz="0" w:space="0" w:color="auto"/>
      </w:divBdr>
    </w:div>
    <w:div w:id="68428379">
      <w:bodyDiv w:val="1"/>
      <w:marLeft w:val="0"/>
      <w:marRight w:val="0"/>
      <w:marTop w:val="0"/>
      <w:marBottom w:val="0"/>
      <w:divBdr>
        <w:top w:val="none" w:sz="0" w:space="0" w:color="auto"/>
        <w:left w:val="none" w:sz="0" w:space="0" w:color="auto"/>
        <w:bottom w:val="none" w:sz="0" w:space="0" w:color="auto"/>
        <w:right w:val="none" w:sz="0" w:space="0" w:color="auto"/>
      </w:divBdr>
    </w:div>
    <w:div w:id="105659501">
      <w:bodyDiv w:val="1"/>
      <w:marLeft w:val="0"/>
      <w:marRight w:val="0"/>
      <w:marTop w:val="0"/>
      <w:marBottom w:val="0"/>
      <w:divBdr>
        <w:top w:val="none" w:sz="0" w:space="0" w:color="auto"/>
        <w:left w:val="none" w:sz="0" w:space="0" w:color="auto"/>
        <w:bottom w:val="none" w:sz="0" w:space="0" w:color="auto"/>
        <w:right w:val="none" w:sz="0" w:space="0" w:color="auto"/>
      </w:divBdr>
    </w:div>
    <w:div w:id="218983325">
      <w:bodyDiv w:val="1"/>
      <w:marLeft w:val="0"/>
      <w:marRight w:val="0"/>
      <w:marTop w:val="0"/>
      <w:marBottom w:val="0"/>
      <w:divBdr>
        <w:top w:val="none" w:sz="0" w:space="0" w:color="auto"/>
        <w:left w:val="none" w:sz="0" w:space="0" w:color="auto"/>
        <w:bottom w:val="none" w:sz="0" w:space="0" w:color="auto"/>
        <w:right w:val="none" w:sz="0" w:space="0" w:color="auto"/>
      </w:divBdr>
    </w:div>
    <w:div w:id="254292448">
      <w:bodyDiv w:val="1"/>
      <w:marLeft w:val="0"/>
      <w:marRight w:val="0"/>
      <w:marTop w:val="0"/>
      <w:marBottom w:val="0"/>
      <w:divBdr>
        <w:top w:val="none" w:sz="0" w:space="0" w:color="auto"/>
        <w:left w:val="none" w:sz="0" w:space="0" w:color="auto"/>
        <w:bottom w:val="none" w:sz="0" w:space="0" w:color="auto"/>
        <w:right w:val="none" w:sz="0" w:space="0" w:color="auto"/>
      </w:divBdr>
    </w:div>
    <w:div w:id="547641663">
      <w:bodyDiv w:val="1"/>
      <w:marLeft w:val="0"/>
      <w:marRight w:val="0"/>
      <w:marTop w:val="0"/>
      <w:marBottom w:val="0"/>
      <w:divBdr>
        <w:top w:val="none" w:sz="0" w:space="0" w:color="auto"/>
        <w:left w:val="none" w:sz="0" w:space="0" w:color="auto"/>
        <w:bottom w:val="none" w:sz="0" w:space="0" w:color="auto"/>
        <w:right w:val="none" w:sz="0" w:space="0" w:color="auto"/>
      </w:divBdr>
    </w:div>
    <w:div w:id="875316040">
      <w:bodyDiv w:val="1"/>
      <w:marLeft w:val="0"/>
      <w:marRight w:val="0"/>
      <w:marTop w:val="0"/>
      <w:marBottom w:val="0"/>
      <w:divBdr>
        <w:top w:val="none" w:sz="0" w:space="0" w:color="auto"/>
        <w:left w:val="none" w:sz="0" w:space="0" w:color="auto"/>
        <w:bottom w:val="none" w:sz="0" w:space="0" w:color="auto"/>
        <w:right w:val="none" w:sz="0" w:space="0" w:color="auto"/>
      </w:divBdr>
    </w:div>
    <w:div w:id="981664783">
      <w:bodyDiv w:val="1"/>
      <w:marLeft w:val="0"/>
      <w:marRight w:val="0"/>
      <w:marTop w:val="0"/>
      <w:marBottom w:val="0"/>
      <w:divBdr>
        <w:top w:val="none" w:sz="0" w:space="0" w:color="auto"/>
        <w:left w:val="none" w:sz="0" w:space="0" w:color="auto"/>
        <w:bottom w:val="none" w:sz="0" w:space="0" w:color="auto"/>
        <w:right w:val="none" w:sz="0" w:space="0" w:color="auto"/>
      </w:divBdr>
    </w:div>
    <w:div w:id="1034160943">
      <w:bodyDiv w:val="1"/>
      <w:marLeft w:val="0"/>
      <w:marRight w:val="0"/>
      <w:marTop w:val="0"/>
      <w:marBottom w:val="0"/>
      <w:divBdr>
        <w:top w:val="none" w:sz="0" w:space="0" w:color="auto"/>
        <w:left w:val="none" w:sz="0" w:space="0" w:color="auto"/>
        <w:bottom w:val="none" w:sz="0" w:space="0" w:color="auto"/>
        <w:right w:val="none" w:sz="0" w:space="0" w:color="auto"/>
      </w:divBdr>
    </w:div>
    <w:div w:id="1297292972">
      <w:bodyDiv w:val="1"/>
      <w:marLeft w:val="0"/>
      <w:marRight w:val="0"/>
      <w:marTop w:val="0"/>
      <w:marBottom w:val="0"/>
      <w:divBdr>
        <w:top w:val="none" w:sz="0" w:space="0" w:color="auto"/>
        <w:left w:val="none" w:sz="0" w:space="0" w:color="auto"/>
        <w:bottom w:val="none" w:sz="0" w:space="0" w:color="auto"/>
        <w:right w:val="none" w:sz="0" w:space="0" w:color="auto"/>
      </w:divBdr>
    </w:div>
    <w:div w:id="1656834997">
      <w:bodyDiv w:val="1"/>
      <w:marLeft w:val="0"/>
      <w:marRight w:val="0"/>
      <w:marTop w:val="0"/>
      <w:marBottom w:val="0"/>
      <w:divBdr>
        <w:top w:val="none" w:sz="0" w:space="0" w:color="auto"/>
        <w:left w:val="none" w:sz="0" w:space="0" w:color="auto"/>
        <w:bottom w:val="none" w:sz="0" w:space="0" w:color="auto"/>
        <w:right w:val="none" w:sz="0" w:space="0" w:color="auto"/>
      </w:divBdr>
    </w:div>
    <w:div w:id="1747218332">
      <w:bodyDiv w:val="1"/>
      <w:marLeft w:val="0"/>
      <w:marRight w:val="0"/>
      <w:marTop w:val="0"/>
      <w:marBottom w:val="0"/>
      <w:divBdr>
        <w:top w:val="none" w:sz="0" w:space="0" w:color="auto"/>
        <w:left w:val="none" w:sz="0" w:space="0" w:color="auto"/>
        <w:bottom w:val="none" w:sz="0" w:space="0" w:color="auto"/>
        <w:right w:val="none" w:sz="0" w:space="0" w:color="auto"/>
      </w:divBdr>
    </w:div>
    <w:div w:id="1977639104">
      <w:bodyDiv w:val="1"/>
      <w:marLeft w:val="0"/>
      <w:marRight w:val="0"/>
      <w:marTop w:val="0"/>
      <w:marBottom w:val="0"/>
      <w:divBdr>
        <w:top w:val="none" w:sz="0" w:space="0" w:color="auto"/>
        <w:left w:val="none" w:sz="0" w:space="0" w:color="auto"/>
        <w:bottom w:val="none" w:sz="0" w:space="0" w:color="auto"/>
        <w:right w:val="none" w:sz="0" w:space="0" w:color="auto"/>
      </w:divBdr>
    </w:div>
    <w:div w:id="2004158854">
      <w:bodyDiv w:val="1"/>
      <w:marLeft w:val="0"/>
      <w:marRight w:val="0"/>
      <w:marTop w:val="0"/>
      <w:marBottom w:val="0"/>
      <w:divBdr>
        <w:top w:val="none" w:sz="0" w:space="0" w:color="auto"/>
        <w:left w:val="none" w:sz="0" w:space="0" w:color="auto"/>
        <w:bottom w:val="none" w:sz="0" w:space="0" w:color="auto"/>
        <w:right w:val="none" w:sz="0" w:space="0" w:color="auto"/>
      </w:divBdr>
    </w:div>
    <w:div w:id="2109886788">
      <w:bodyDiv w:val="1"/>
      <w:marLeft w:val="0"/>
      <w:marRight w:val="0"/>
      <w:marTop w:val="0"/>
      <w:marBottom w:val="0"/>
      <w:divBdr>
        <w:top w:val="none" w:sz="0" w:space="0" w:color="auto"/>
        <w:left w:val="none" w:sz="0" w:space="0" w:color="auto"/>
        <w:bottom w:val="none" w:sz="0" w:space="0" w:color="auto"/>
        <w:right w:val="none" w:sz="0" w:space="0" w:color="auto"/>
      </w:divBdr>
    </w:div>
    <w:div w:id="214715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eresa_kobet@ocal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1D20C27ED6E41BFFA14E5049F4D53" ma:contentTypeVersion="11" ma:contentTypeDescription="Create a new document." ma:contentTypeScope="" ma:versionID="33519fa3de650482d3c41ecba5d63e0f">
  <xsd:schema xmlns:xsd="http://www.w3.org/2001/XMLSchema" xmlns:xs="http://www.w3.org/2001/XMLSchema" xmlns:p="http://schemas.microsoft.com/office/2006/metadata/properties" xmlns:ns2="da26012b-25f5-49fd-becf-fd5328226e56" xmlns:ns3="2dd3400c-658b-4fff-9b0d-14ef5db20db7" targetNamespace="http://schemas.microsoft.com/office/2006/metadata/properties" ma:root="true" ma:fieldsID="75c979ccd7b8c4b20382acfa43ae4d36" ns2:_="" ns3:_="">
    <xsd:import namespace="da26012b-25f5-49fd-becf-fd5328226e56"/>
    <xsd:import namespace="2dd3400c-658b-4fff-9b0d-14ef5db20d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012b-25f5-49fd-becf-fd5328226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400c-658b-4fff-9b0d-14ef5db20d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C6A6F-15FF-4DA3-B135-E8E8A38884C9}">
  <ds:schemaRefs>
    <ds:schemaRef ds:uri="http://schemas.microsoft.com/sharepoint/v3/contenttype/forms"/>
  </ds:schemaRefs>
</ds:datastoreItem>
</file>

<file path=customXml/itemProps2.xml><?xml version="1.0" encoding="utf-8"?>
<ds:datastoreItem xmlns:ds="http://schemas.openxmlformats.org/officeDocument/2006/customXml" ds:itemID="{33EE4E12-8960-4874-A1CF-F9761818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6012b-25f5-49fd-becf-fd5328226e56"/>
    <ds:schemaRef ds:uri="2dd3400c-658b-4fff-9b0d-14ef5db20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09523-1317-4E50-ABF4-380281AEA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Kobelt</cp:lastModifiedBy>
  <cp:revision>6</cp:revision>
  <dcterms:created xsi:type="dcterms:W3CDTF">2022-03-28T13:12:00Z</dcterms:created>
  <dcterms:modified xsi:type="dcterms:W3CDTF">2022-03-29T14:27:00Z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Adobe InDesign 15.1 (Macintosh)</vt:lpwstr>
  </property>
  <property fmtid="{D5CDD505-2E9C-101B-9397-08002B2CF9AE}" pid="4" name="LastSaved">
    <vt:filetime>2020-10-29T00:00:00Z</vt:filetime>
  </property>
  <property fmtid="{D5CDD505-2E9C-101B-9397-08002B2CF9AE}" pid="5" name="ContentTypeId">
    <vt:lpwstr>0x010100D801D20C27ED6E41BFFA14E5049F4D53</vt:lpwstr>
  </property>
</Properties>
</file>