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A8" w:rsidRPr="000972A8" w:rsidRDefault="000972A8" w:rsidP="000972A8">
      <w:pPr>
        <w:pStyle w:val="Heading1"/>
        <w:rPr>
          <w:rFonts w:ascii="Avenir Roman" w:hAnsi="Avenir Roman"/>
          <w:color w:val="auto"/>
        </w:rPr>
      </w:pPr>
      <w:r w:rsidRPr="000972A8">
        <w:rPr>
          <w:rFonts w:ascii="Avenir Roman" w:hAnsi="Avenir Roman"/>
          <w:color w:val="auto"/>
        </w:rPr>
        <w:t>Extended Standards and Learning Progressions Card</w:t>
      </w:r>
    </w:p>
    <w:p w:rsidR="000972A8" w:rsidRPr="000972A8" w:rsidRDefault="000972A8">
      <w:pPr>
        <w:rPr>
          <w:rFonts w:ascii="Avenir Roman" w:hAnsi="Avenir Roman"/>
        </w:rPr>
      </w:pPr>
    </w:p>
    <w:p w:rsidR="000972A8" w:rsidRPr="000972A8" w:rsidRDefault="000972A8" w:rsidP="000972A8">
      <w:pPr>
        <w:pStyle w:val="Heading2"/>
        <w:rPr>
          <w:rFonts w:ascii="Avenir Roman" w:hAnsi="Avenir Roman"/>
          <w:color w:val="auto"/>
        </w:rPr>
      </w:pPr>
      <w:r w:rsidRPr="000972A8">
        <w:rPr>
          <w:rFonts w:ascii="Avenir Roman" w:hAnsi="Avenir Roman"/>
          <w:color w:val="auto"/>
        </w:rPr>
        <w:t>Front Side</w:t>
      </w:r>
    </w:p>
    <w:p w:rsidR="000972A8" w:rsidRPr="000972A8" w:rsidRDefault="000972A8">
      <w:pPr>
        <w:rPr>
          <w:rFonts w:ascii="Avenir Roman" w:hAnsi="Avenir Roman"/>
        </w:rPr>
      </w:pP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Ohio’s Extended Standards plus Learning Progressions</w:t>
      </w:r>
    </w:p>
    <w:p w:rsidR="000972A8" w:rsidRPr="000972A8" w:rsidRDefault="000972A8">
      <w:pPr>
        <w:rPr>
          <w:rFonts w:ascii="Avenir Roman" w:hAnsi="Avenir Roman"/>
        </w:rPr>
      </w:pPr>
      <w:bookmarkStart w:id="0" w:name="_GoBack"/>
      <w:bookmarkEnd w:id="0"/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English</w:t>
      </w: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Mathematics</w:t>
      </w: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Science</w:t>
      </w: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Social Studies</w:t>
      </w:r>
    </w:p>
    <w:p w:rsidR="000972A8" w:rsidRPr="000972A8" w:rsidRDefault="000972A8">
      <w:pPr>
        <w:rPr>
          <w:rFonts w:ascii="Avenir Roman" w:hAnsi="Avenir Roman"/>
        </w:rPr>
      </w:pP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Access to the general curriculum, instruction and assessment</w:t>
      </w:r>
    </w:p>
    <w:p w:rsidR="000972A8" w:rsidRPr="000972A8" w:rsidRDefault="000972A8">
      <w:pPr>
        <w:rPr>
          <w:rFonts w:ascii="Avenir Roman" w:hAnsi="Avenir Roman"/>
        </w:rPr>
      </w:pPr>
    </w:p>
    <w:p w:rsidR="000972A8" w:rsidRPr="000972A8" w:rsidRDefault="000972A8" w:rsidP="000972A8">
      <w:pPr>
        <w:pStyle w:val="Heading2"/>
        <w:rPr>
          <w:rFonts w:ascii="Avenir Roman" w:hAnsi="Avenir Roman"/>
          <w:color w:val="auto"/>
        </w:rPr>
      </w:pPr>
      <w:r w:rsidRPr="000972A8">
        <w:rPr>
          <w:rFonts w:ascii="Avenir Roman" w:hAnsi="Avenir Roman"/>
          <w:color w:val="auto"/>
        </w:rPr>
        <w:t>Back Side</w:t>
      </w:r>
    </w:p>
    <w:p w:rsidR="000972A8" w:rsidRPr="000972A8" w:rsidRDefault="000972A8" w:rsidP="000972A8">
      <w:pPr>
        <w:pStyle w:val="NormalWeb"/>
        <w:rPr>
          <w:rFonts w:ascii="Avenir Roman" w:hAnsi="Avenir Roman"/>
        </w:rPr>
      </w:pPr>
      <w:r w:rsidRPr="000972A8">
        <w:rPr>
          <w:rFonts w:ascii="Avenir Roman" w:hAnsi="Avenir Roman"/>
          <w:bCs/>
        </w:rPr>
        <w:t xml:space="preserve">Ohio’s Extended Standards and Learning Progressions </w:t>
      </w:r>
    </w:p>
    <w:p w:rsidR="000972A8" w:rsidRPr="000972A8" w:rsidRDefault="000972A8" w:rsidP="000972A8">
      <w:pPr>
        <w:pStyle w:val="NormalWeb"/>
        <w:rPr>
          <w:rFonts w:ascii="Avenir Roman" w:hAnsi="Avenir Roman"/>
        </w:rPr>
      </w:pPr>
      <w:r w:rsidRPr="000972A8">
        <w:rPr>
          <w:rFonts w:ascii="Avenir Roman" w:hAnsi="Avenir Roman"/>
        </w:rPr>
        <w:t>Ohio’s Learning Standards – Extended (OLS-E), commonly known</w:t>
      </w:r>
      <w:r w:rsidRPr="000972A8">
        <w:rPr>
          <w:rFonts w:ascii="Avenir Roman" w:hAnsi="Avenir Roman"/>
        </w:rPr>
        <w:t xml:space="preserve"> </w:t>
      </w:r>
      <w:r w:rsidRPr="000972A8">
        <w:rPr>
          <w:rFonts w:ascii="Avenir Roman" w:hAnsi="Avenir Roman"/>
        </w:rPr>
        <w:t>as “the extended standards,” provide three layers of complexity</w:t>
      </w:r>
      <w:r w:rsidRPr="000972A8">
        <w:rPr>
          <w:rFonts w:ascii="Avenir Roman" w:hAnsi="Avenir Roman"/>
        </w:rPr>
        <w:t xml:space="preserve"> </w:t>
      </w:r>
      <w:r w:rsidRPr="000972A8">
        <w:rPr>
          <w:rFonts w:ascii="Avenir Roman" w:hAnsi="Avenir Roman"/>
        </w:rPr>
        <w:t xml:space="preserve">as learning targets that are linked to Ohio’s Alternate Assessment. The extended standards will now be joined by Learning Progressions to provide additional entry points into the grade-level standards. These tools together help to ensure that students with significant intellectual disabilities are provided with access to the general curriculum, instruction, and assessment. </w:t>
      </w: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OCALI</w:t>
      </w:r>
    </w:p>
    <w:p w:rsidR="000972A8" w:rsidRPr="000972A8" w:rsidRDefault="000972A8">
      <w:pPr>
        <w:rPr>
          <w:rFonts w:ascii="Avenir Roman" w:hAnsi="Avenir Roman"/>
        </w:rPr>
      </w:pPr>
      <w:r w:rsidRPr="000972A8">
        <w:rPr>
          <w:rFonts w:ascii="Avenir Roman" w:hAnsi="Avenir Roman"/>
        </w:rPr>
        <w:t>Teaching Diverse Learners Center</w:t>
      </w:r>
    </w:p>
    <w:p w:rsidR="000972A8" w:rsidRPr="000972A8" w:rsidRDefault="000972A8" w:rsidP="000972A8">
      <w:pPr>
        <w:pStyle w:val="NormalWeb"/>
        <w:rPr>
          <w:rFonts w:ascii="Avenir Roman" w:hAnsi="Avenir Roman"/>
        </w:rPr>
      </w:pPr>
      <w:r w:rsidRPr="000972A8">
        <w:rPr>
          <w:rFonts w:ascii="Avenir Roman" w:hAnsi="Avenir Roman"/>
          <w:bCs/>
        </w:rPr>
        <w:t xml:space="preserve">education.ohio.gov/Topics/Special-Education/Ohios-Learning-Standards-Extended </w:t>
      </w:r>
    </w:p>
    <w:sectPr w:rsidR="000972A8" w:rsidRPr="000972A8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C3"/>
    <w:rsid w:val="000972A8"/>
    <w:rsid w:val="007A42C3"/>
    <w:rsid w:val="00AC2068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70EE0"/>
  <w15:chartTrackingRefBased/>
  <w15:docId w15:val="{667FD6E0-B79A-F241-8798-AF42D55F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2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7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810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Standards and Learning Progressions Vertical</dc:title>
  <dc:subject>Promotional Cards</dc:subject>
  <dc:creator>Marketing_Communication</dc:creator>
  <cp:keywords/>
  <dc:description/>
  <cp:lastModifiedBy>Microsoft Office User</cp:lastModifiedBy>
  <cp:revision>2</cp:revision>
  <dcterms:created xsi:type="dcterms:W3CDTF">2018-11-09T13:32:00Z</dcterms:created>
  <dcterms:modified xsi:type="dcterms:W3CDTF">2018-11-09T13:36:00Z</dcterms:modified>
  <cp:category/>
</cp:coreProperties>
</file>