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209D" w14:textId="77777777" w:rsidR="006332E1" w:rsidRDefault="00C861CD" w:rsidP="00C861CD">
      <w:pPr>
        <w:ind w:left="-450" w:right="-900"/>
        <w:contextualSpacing w:val="0"/>
        <w:jc w:val="center"/>
        <w:rPr>
          <w:b/>
          <w:sz w:val="24"/>
          <w:szCs w:val="24"/>
        </w:rPr>
      </w:pPr>
      <w:r>
        <w:rPr>
          <w:b/>
          <w:sz w:val="24"/>
          <w:szCs w:val="24"/>
        </w:rPr>
        <w:t>ODJFS: Workforce Development</w:t>
      </w:r>
    </w:p>
    <w:p w14:paraId="14B1EB86" w14:textId="77777777" w:rsidR="006332E1" w:rsidRDefault="006332E1">
      <w:pPr>
        <w:ind w:left="-450" w:right="-900"/>
        <w:contextualSpacing w:val="0"/>
        <w:rPr>
          <w:sz w:val="24"/>
          <w:szCs w:val="24"/>
        </w:rPr>
      </w:pPr>
    </w:p>
    <w:p w14:paraId="08A527E9" w14:textId="77777777" w:rsidR="006332E1" w:rsidRDefault="00C861CD">
      <w:pPr>
        <w:ind w:left="-450" w:right="-900"/>
        <w:contextualSpacing w:val="0"/>
        <w:rPr>
          <w:sz w:val="24"/>
          <w:szCs w:val="24"/>
          <w:highlight w:val="white"/>
        </w:rPr>
      </w:pPr>
      <w:r>
        <w:rPr>
          <w:sz w:val="24"/>
          <w:szCs w:val="24"/>
        </w:rPr>
        <w:t xml:space="preserve">Another important agency partner for employment support is the </w:t>
      </w:r>
      <w:r>
        <w:rPr>
          <w:sz w:val="24"/>
          <w:szCs w:val="24"/>
          <w:highlight w:val="white"/>
        </w:rPr>
        <w:t xml:space="preserve">Ohio Department of Job and Family Services (ODJFS), Workforce Development. This agency can provide support and service to more people that the Ohio Department of Developmental Disabilities (DODD)  or Opportunities for Ohioans with Disabilities (OOD). While DODD and OOD only serve people with disabilities, ODJFS can assist people that have a variety of barriers to employment. Traditionally, ODJFS Workforce </w:t>
      </w:r>
      <w:bookmarkStart w:id="0" w:name="_GoBack"/>
      <w:bookmarkEnd w:id="0"/>
      <w:r>
        <w:rPr>
          <w:sz w:val="24"/>
          <w:szCs w:val="24"/>
          <w:highlight w:val="white"/>
        </w:rPr>
        <w:t xml:space="preserve">Development services may not have been seen by some as specialized to the needs of individuals with complex needs. However, no assumptions should be made before determining the individual’s needs and preferences. It is quite possible ODJFS is the best agency to support an individual. In some cases, individuals with ASD may not qualify for services from DODD and/or OOD. When this occurs, ODJFS may be the primary service agency to consider for employment support. </w:t>
      </w:r>
    </w:p>
    <w:p w14:paraId="42F8B9E9" w14:textId="77777777" w:rsidR="006332E1" w:rsidRDefault="006332E1">
      <w:pPr>
        <w:ind w:left="-450" w:right="-900"/>
        <w:contextualSpacing w:val="0"/>
        <w:rPr>
          <w:sz w:val="24"/>
          <w:szCs w:val="24"/>
          <w:highlight w:val="white"/>
        </w:rPr>
      </w:pPr>
    </w:p>
    <w:tbl>
      <w:tblPr>
        <w:tblStyle w:val="a"/>
        <w:tblW w:w="1086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8175"/>
      </w:tblGrid>
      <w:tr w:rsidR="006332E1" w14:paraId="1D32C80C" w14:textId="77777777" w:rsidTr="004365D3">
        <w:trPr>
          <w:trHeight w:val="480"/>
        </w:trPr>
        <w:tc>
          <w:tcPr>
            <w:tcW w:w="10860" w:type="dxa"/>
            <w:gridSpan w:val="2"/>
            <w:shd w:val="clear" w:color="auto" w:fill="auto"/>
            <w:tcMar>
              <w:top w:w="100" w:type="dxa"/>
              <w:left w:w="100" w:type="dxa"/>
              <w:bottom w:w="100" w:type="dxa"/>
              <w:right w:w="100" w:type="dxa"/>
            </w:tcMar>
          </w:tcPr>
          <w:p w14:paraId="5B00F62F" w14:textId="77777777" w:rsidR="006332E1" w:rsidRDefault="00C861CD">
            <w:pPr>
              <w:widowControl w:val="0"/>
              <w:spacing w:line="240" w:lineRule="auto"/>
              <w:contextualSpacing w:val="0"/>
              <w:jc w:val="center"/>
              <w:rPr>
                <w:b/>
                <w:sz w:val="28"/>
                <w:szCs w:val="28"/>
                <w:highlight w:val="white"/>
              </w:rPr>
            </w:pPr>
            <w:r>
              <w:rPr>
                <w:b/>
                <w:sz w:val="28"/>
                <w:szCs w:val="28"/>
                <w:highlight w:val="white"/>
              </w:rPr>
              <w:t>Ohio Department of Job and Family Services (ODJFS)</w:t>
            </w:r>
          </w:p>
          <w:p w14:paraId="4EF16169" w14:textId="77777777" w:rsidR="006332E1" w:rsidRDefault="00C861CD">
            <w:pPr>
              <w:widowControl w:val="0"/>
              <w:spacing w:line="240" w:lineRule="auto"/>
              <w:contextualSpacing w:val="0"/>
              <w:jc w:val="center"/>
              <w:rPr>
                <w:b/>
                <w:sz w:val="24"/>
                <w:szCs w:val="24"/>
                <w:highlight w:val="white"/>
              </w:rPr>
            </w:pPr>
            <w:r>
              <w:rPr>
                <w:b/>
                <w:sz w:val="24"/>
                <w:szCs w:val="24"/>
                <w:highlight w:val="white"/>
              </w:rPr>
              <w:t>Workforce Development</w:t>
            </w:r>
          </w:p>
        </w:tc>
      </w:tr>
      <w:tr w:rsidR="006332E1" w14:paraId="712E7CEA" w14:textId="77777777" w:rsidTr="004365D3">
        <w:trPr>
          <w:trHeight w:val="400"/>
        </w:trPr>
        <w:tc>
          <w:tcPr>
            <w:tcW w:w="2685" w:type="dxa"/>
            <w:shd w:val="clear" w:color="auto" w:fill="auto"/>
            <w:tcMar>
              <w:top w:w="100" w:type="dxa"/>
              <w:left w:w="100" w:type="dxa"/>
              <w:bottom w:w="100" w:type="dxa"/>
              <w:right w:w="100" w:type="dxa"/>
            </w:tcMar>
          </w:tcPr>
          <w:p w14:paraId="4031321A" w14:textId="77777777" w:rsidR="006332E1" w:rsidRDefault="00C861CD">
            <w:pPr>
              <w:widowControl w:val="0"/>
              <w:spacing w:line="240" w:lineRule="auto"/>
              <w:contextualSpacing w:val="0"/>
              <w:rPr>
                <w:b/>
                <w:sz w:val="20"/>
                <w:szCs w:val="20"/>
                <w:highlight w:val="white"/>
              </w:rPr>
            </w:pPr>
            <w:r>
              <w:rPr>
                <w:b/>
                <w:sz w:val="20"/>
                <w:szCs w:val="20"/>
                <w:highlight w:val="white"/>
              </w:rPr>
              <w:t>What Does the Agency Do?</w:t>
            </w:r>
          </w:p>
        </w:tc>
        <w:tc>
          <w:tcPr>
            <w:tcW w:w="8175" w:type="dxa"/>
            <w:shd w:val="clear" w:color="auto" w:fill="auto"/>
            <w:tcMar>
              <w:top w:w="100" w:type="dxa"/>
              <w:left w:w="100" w:type="dxa"/>
              <w:bottom w:w="100" w:type="dxa"/>
              <w:right w:w="100" w:type="dxa"/>
            </w:tcMar>
          </w:tcPr>
          <w:p w14:paraId="3A5BDCB2" w14:textId="77777777" w:rsidR="006332E1" w:rsidRDefault="00C861CD">
            <w:pPr>
              <w:contextualSpacing w:val="0"/>
              <w:rPr>
                <w:sz w:val="20"/>
                <w:szCs w:val="20"/>
              </w:rPr>
            </w:pPr>
            <w:r>
              <w:rPr>
                <w:sz w:val="20"/>
                <w:szCs w:val="20"/>
              </w:rPr>
              <w:t>The Ohio Department of Job and Family Services offers a wide range of assistance, including workforce development, unemployment compensation, cash assistance, food assistance, child and adult protective services, child care, adoption, and child support.</w:t>
            </w:r>
          </w:p>
        </w:tc>
      </w:tr>
      <w:tr w:rsidR="006332E1" w14:paraId="0C4FAC2E" w14:textId="77777777" w:rsidTr="004365D3">
        <w:trPr>
          <w:trHeight w:val="400"/>
        </w:trPr>
        <w:tc>
          <w:tcPr>
            <w:tcW w:w="2685" w:type="dxa"/>
            <w:shd w:val="clear" w:color="auto" w:fill="auto"/>
            <w:tcMar>
              <w:top w:w="100" w:type="dxa"/>
              <w:left w:w="100" w:type="dxa"/>
              <w:bottom w:w="100" w:type="dxa"/>
              <w:right w:w="100" w:type="dxa"/>
            </w:tcMar>
          </w:tcPr>
          <w:p w14:paraId="1F7B1E90" w14:textId="77777777" w:rsidR="006332E1" w:rsidRDefault="00C861CD">
            <w:pPr>
              <w:widowControl w:val="0"/>
              <w:spacing w:line="240" w:lineRule="auto"/>
              <w:contextualSpacing w:val="0"/>
              <w:rPr>
                <w:b/>
                <w:sz w:val="20"/>
                <w:szCs w:val="20"/>
                <w:highlight w:val="white"/>
              </w:rPr>
            </w:pPr>
            <w:r>
              <w:rPr>
                <w:b/>
                <w:sz w:val="20"/>
                <w:szCs w:val="20"/>
                <w:highlight w:val="white"/>
              </w:rPr>
              <w:t>Who is eligible</w:t>
            </w:r>
          </w:p>
        </w:tc>
        <w:tc>
          <w:tcPr>
            <w:tcW w:w="8175" w:type="dxa"/>
            <w:shd w:val="clear" w:color="auto" w:fill="auto"/>
            <w:tcMar>
              <w:top w:w="100" w:type="dxa"/>
              <w:left w:w="100" w:type="dxa"/>
              <w:bottom w:w="100" w:type="dxa"/>
              <w:right w:w="100" w:type="dxa"/>
            </w:tcMar>
          </w:tcPr>
          <w:p w14:paraId="51503009" w14:textId="77777777" w:rsidR="006332E1" w:rsidRDefault="00C861CD">
            <w:pPr>
              <w:contextualSpacing w:val="0"/>
              <w:rPr>
                <w:sz w:val="20"/>
                <w:szCs w:val="20"/>
                <w:highlight w:val="white"/>
              </w:rPr>
            </w:pPr>
            <w:r>
              <w:rPr>
                <w:sz w:val="20"/>
                <w:szCs w:val="20"/>
                <w:highlight w:val="white"/>
              </w:rPr>
              <w:t>There are multiple programs administered by ODJFS for a variety of targeted populations and needs. Not all programs or services have the same eligibility requirements. Eligibility for specific services may depend on some of the following: Level of Income, Disability, Type of Need and Age.</w:t>
            </w:r>
          </w:p>
        </w:tc>
      </w:tr>
      <w:tr w:rsidR="006332E1" w14:paraId="1A4F33AF" w14:textId="77777777" w:rsidTr="004365D3">
        <w:trPr>
          <w:trHeight w:val="400"/>
        </w:trPr>
        <w:tc>
          <w:tcPr>
            <w:tcW w:w="2685" w:type="dxa"/>
            <w:shd w:val="clear" w:color="auto" w:fill="auto"/>
            <w:tcMar>
              <w:top w:w="100" w:type="dxa"/>
              <w:left w:w="100" w:type="dxa"/>
              <w:bottom w:w="100" w:type="dxa"/>
              <w:right w:w="100" w:type="dxa"/>
            </w:tcMar>
          </w:tcPr>
          <w:p w14:paraId="678D0B31" w14:textId="77777777" w:rsidR="006332E1" w:rsidRDefault="00C861CD">
            <w:pPr>
              <w:widowControl w:val="0"/>
              <w:spacing w:line="240" w:lineRule="auto"/>
              <w:contextualSpacing w:val="0"/>
              <w:rPr>
                <w:b/>
                <w:sz w:val="20"/>
                <w:szCs w:val="20"/>
                <w:highlight w:val="white"/>
              </w:rPr>
            </w:pPr>
            <w:r>
              <w:rPr>
                <w:b/>
                <w:sz w:val="20"/>
                <w:szCs w:val="20"/>
                <w:highlight w:val="white"/>
              </w:rPr>
              <w:t>What Does the Agency Do to Support Employment?</w:t>
            </w:r>
          </w:p>
        </w:tc>
        <w:tc>
          <w:tcPr>
            <w:tcW w:w="8175" w:type="dxa"/>
            <w:shd w:val="clear" w:color="auto" w:fill="auto"/>
            <w:tcMar>
              <w:top w:w="100" w:type="dxa"/>
              <w:left w:w="100" w:type="dxa"/>
              <w:bottom w:w="100" w:type="dxa"/>
              <w:right w:w="100" w:type="dxa"/>
            </w:tcMar>
          </w:tcPr>
          <w:p w14:paraId="28F356A1" w14:textId="77777777" w:rsidR="006332E1" w:rsidRDefault="00C861CD">
            <w:pPr>
              <w:contextualSpacing w:val="0"/>
              <w:rPr>
                <w:sz w:val="20"/>
                <w:szCs w:val="20"/>
              </w:rPr>
            </w:pPr>
            <w:r>
              <w:rPr>
                <w:sz w:val="20"/>
                <w:szCs w:val="20"/>
              </w:rPr>
              <w:t>Workforce development services are available to any Ohioan planning for or seeking employment, including students, youth, adults, displaced workers and people with disabilities. Some services are designed for people with specific needs or situations. Priority of service is given to U.S. veterans</w:t>
            </w:r>
          </w:p>
        </w:tc>
      </w:tr>
      <w:tr w:rsidR="006332E1" w14:paraId="30492D39" w14:textId="77777777" w:rsidTr="004365D3">
        <w:trPr>
          <w:trHeight w:val="400"/>
        </w:trPr>
        <w:tc>
          <w:tcPr>
            <w:tcW w:w="2685" w:type="dxa"/>
            <w:shd w:val="clear" w:color="auto" w:fill="auto"/>
            <w:tcMar>
              <w:top w:w="100" w:type="dxa"/>
              <w:left w:w="100" w:type="dxa"/>
              <w:bottom w:w="100" w:type="dxa"/>
              <w:right w:w="100" w:type="dxa"/>
            </w:tcMar>
          </w:tcPr>
          <w:p w14:paraId="6B7E8834" w14:textId="77777777" w:rsidR="006332E1" w:rsidRDefault="00C861CD">
            <w:pPr>
              <w:widowControl w:val="0"/>
              <w:spacing w:line="240" w:lineRule="auto"/>
              <w:contextualSpacing w:val="0"/>
              <w:rPr>
                <w:b/>
                <w:sz w:val="20"/>
                <w:szCs w:val="20"/>
                <w:highlight w:val="white"/>
              </w:rPr>
            </w:pPr>
            <w:r>
              <w:rPr>
                <w:b/>
                <w:sz w:val="20"/>
                <w:szCs w:val="20"/>
                <w:highlight w:val="white"/>
              </w:rPr>
              <w:t xml:space="preserve">Where can more information on ODJFS employment programs and services be located? </w:t>
            </w:r>
          </w:p>
        </w:tc>
        <w:tc>
          <w:tcPr>
            <w:tcW w:w="8175" w:type="dxa"/>
            <w:shd w:val="clear" w:color="auto" w:fill="auto"/>
            <w:tcMar>
              <w:top w:w="100" w:type="dxa"/>
              <w:left w:w="100" w:type="dxa"/>
              <w:bottom w:w="100" w:type="dxa"/>
              <w:right w:w="100" w:type="dxa"/>
            </w:tcMar>
          </w:tcPr>
          <w:p w14:paraId="703C259A" w14:textId="77777777" w:rsidR="006332E1" w:rsidRDefault="00C861CD">
            <w:pPr>
              <w:contextualSpacing w:val="0"/>
              <w:rPr>
                <w:sz w:val="20"/>
                <w:szCs w:val="20"/>
                <w:highlight w:val="white"/>
              </w:rPr>
            </w:pPr>
            <w:r>
              <w:rPr>
                <w:sz w:val="20"/>
                <w:szCs w:val="20"/>
                <w:highlight w:val="white"/>
              </w:rPr>
              <w:t xml:space="preserve">Access to Ohio’s workforce development resources and services is available in person at local </w:t>
            </w:r>
            <w:hyperlink r:id="rId5">
              <w:proofErr w:type="spellStart"/>
              <w:r>
                <w:rPr>
                  <w:color w:val="1155CC"/>
                  <w:sz w:val="20"/>
                  <w:szCs w:val="20"/>
                  <w:highlight w:val="white"/>
                  <w:u w:val="single"/>
                </w:rPr>
                <w:t>OhioMeansJobs</w:t>
              </w:r>
              <w:proofErr w:type="spellEnd"/>
              <w:r>
                <w:rPr>
                  <w:color w:val="1155CC"/>
                  <w:sz w:val="20"/>
                  <w:szCs w:val="20"/>
                  <w:highlight w:val="white"/>
                  <w:u w:val="single"/>
                </w:rPr>
                <w:t xml:space="preserve"> Centers</w:t>
              </w:r>
            </w:hyperlink>
            <w:r>
              <w:rPr>
                <w:sz w:val="20"/>
                <w:szCs w:val="20"/>
                <w:highlight w:val="white"/>
              </w:rPr>
              <w:t xml:space="preserve"> and at </w:t>
            </w:r>
            <w:hyperlink r:id="rId6">
              <w:r>
                <w:rPr>
                  <w:color w:val="1155CC"/>
                  <w:sz w:val="20"/>
                  <w:szCs w:val="20"/>
                  <w:highlight w:val="white"/>
                  <w:u w:val="single"/>
                </w:rPr>
                <w:t>OhioMeansJobs.com</w:t>
              </w:r>
            </w:hyperlink>
          </w:p>
          <w:p w14:paraId="4E7B88BE" w14:textId="77777777" w:rsidR="006332E1" w:rsidRDefault="006332E1">
            <w:pPr>
              <w:contextualSpacing w:val="0"/>
              <w:rPr>
                <w:sz w:val="20"/>
                <w:szCs w:val="20"/>
                <w:highlight w:val="white"/>
              </w:rPr>
            </w:pPr>
          </w:p>
          <w:p w14:paraId="7439CE57" w14:textId="77777777" w:rsidR="006332E1" w:rsidRDefault="00C861CD">
            <w:pPr>
              <w:contextualSpacing w:val="0"/>
              <w:rPr>
                <w:sz w:val="20"/>
                <w:szCs w:val="20"/>
                <w:highlight w:val="white"/>
              </w:rPr>
            </w:pPr>
            <w:r>
              <w:rPr>
                <w:sz w:val="20"/>
                <w:szCs w:val="20"/>
                <w:highlight w:val="white"/>
              </w:rPr>
              <w:t xml:space="preserve">OhioMeansJobs.com offers free online career development and employment tools Examples include: </w:t>
            </w:r>
          </w:p>
          <w:p w14:paraId="68ADE055" w14:textId="77777777" w:rsidR="006332E1" w:rsidRDefault="00C861CD">
            <w:pPr>
              <w:numPr>
                <w:ilvl w:val="0"/>
                <w:numId w:val="4"/>
              </w:numPr>
              <w:rPr>
                <w:sz w:val="20"/>
                <w:szCs w:val="20"/>
                <w:highlight w:val="white"/>
              </w:rPr>
            </w:pPr>
            <w:r>
              <w:rPr>
                <w:sz w:val="20"/>
                <w:szCs w:val="20"/>
                <w:highlight w:val="white"/>
              </w:rPr>
              <w:t>A K-12 portal targeting  middle and high school students</w:t>
            </w:r>
          </w:p>
          <w:p w14:paraId="7183F91D" w14:textId="77777777" w:rsidR="006332E1" w:rsidRDefault="00C861CD">
            <w:pPr>
              <w:numPr>
                <w:ilvl w:val="0"/>
                <w:numId w:val="4"/>
              </w:numPr>
              <w:rPr>
                <w:sz w:val="20"/>
                <w:szCs w:val="20"/>
                <w:highlight w:val="white"/>
              </w:rPr>
            </w:pPr>
            <w:r>
              <w:rPr>
                <w:sz w:val="20"/>
                <w:szCs w:val="20"/>
                <w:highlight w:val="white"/>
              </w:rPr>
              <w:t>Career interest and job skills assessments</w:t>
            </w:r>
          </w:p>
          <w:p w14:paraId="6EF8BE60" w14:textId="77777777" w:rsidR="006332E1" w:rsidRDefault="00C861CD">
            <w:pPr>
              <w:numPr>
                <w:ilvl w:val="0"/>
                <w:numId w:val="4"/>
              </w:numPr>
              <w:rPr>
                <w:sz w:val="20"/>
                <w:szCs w:val="20"/>
                <w:highlight w:val="white"/>
              </w:rPr>
            </w:pPr>
            <w:r>
              <w:rPr>
                <w:sz w:val="20"/>
                <w:szCs w:val="20"/>
                <w:highlight w:val="white"/>
              </w:rPr>
              <w:t xml:space="preserve">Training to help with specific subjects and classes </w:t>
            </w:r>
          </w:p>
          <w:p w14:paraId="57AC57FE" w14:textId="77777777" w:rsidR="006332E1" w:rsidRDefault="00C861CD">
            <w:pPr>
              <w:numPr>
                <w:ilvl w:val="0"/>
                <w:numId w:val="4"/>
              </w:numPr>
              <w:rPr>
                <w:sz w:val="20"/>
                <w:szCs w:val="20"/>
                <w:highlight w:val="white"/>
              </w:rPr>
            </w:pPr>
            <w:r>
              <w:rPr>
                <w:sz w:val="20"/>
                <w:szCs w:val="20"/>
                <w:highlight w:val="white"/>
              </w:rPr>
              <w:t xml:space="preserve">A budget calculator, Information about in-demand jobs </w:t>
            </w:r>
          </w:p>
          <w:p w14:paraId="09B89381" w14:textId="77777777" w:rsidR="006332E1" w:rsidRDefault="00C861CD">
            <w:pPr>
              <w:numPr>
                <w:ilvl w:val="0"/>
                <w:numId w:val="4"/>
              </w:numPr>
              <w:rPr>
                <w:sz w:val="20"/>
                <w:szCs w:val="20"/>
                <w:highlight w:val="white"/>
              </w:rPr>
            </w:pPr>
            <w:r>
              <w:rPr>
                <w:sz w:val="20"/>
                <w:szCs w:val="20"/>
                <w:highlight w:val="white"/>
              </w:rPr>
              <w:t xml:space="preserve">A career planner to help set and reach career goals </w:t>
            </w:r>
          </w:p>
          <w:p w14:paraId="08FF6261" w14:textId="77777777" w:rsidR="006332E1" w:rsidRDefault="00C861CD">
            <w:pPr>
              <w:numPr>
                <w:ilvl w:val="0"/>
                <w:numId w:val="4"/>
              </w:numPr>
              <w:rPr>
                <w:sz w:val="20"/>
                <w:szCs w:val="20"/>
                <w:highlight w:val="white"/>
              </w:rPr>
            </w:pPr>
            <w:r>
              <w:rPr>
                <w:sz w:val="20"/>
                <w:szCs w:val="20"/>
                <w:highlight w:val="white"/>
              </w:rPr>
              <w:t>Information about training, apprenticeships, co-ops, internships and scholarships</w:t>
            </w:r>
          </w:p>
          <w:p w14:paraId="486DE4A7" w14:textId="77777777" w:rsidR="006332E1" w:rsidRDefault="00C861CD">
            <w:pPr>
              <w:numPr>
                <w:ilvl w:val="0"/>
                <w:numId w:val="4"/>
              </w:numPr>
              <w:rPr>
                <w:sz w:val="20"/>
                <w:szCs w:val="20"/>
                <w:highlight w:val="white"/>
              </w:rPr>
            </w:pPr>
            <w:r>
              <w:rPr>
                <w:sz w:val="20"/>
                <w:szCs w:val="20"/>
                <w:highlight w:val="white"/>
              </w:rPr>
              <w:t>Help with job searching, resume writing and interviewing</w:t>
            </w:r>
          </w:p>
          <w:p w14:paraId="3AE9A419" w14:textId="77777777" w:rsidR="006332E1" w:rsidRDefault="00C861CD">
            <w:pPr>
              <w:numPr>
                <w:ilvl w:val="0"/>
                <w:numId w:val="4"/>
              </w:numPr>
              <w:rPr>
                <w:sz w:val="20"/>
                <w:szCs w:val="20"/>
                <w:highlight w:val="white"/>
              </w:rPr>
            </w:pPr>
            <w:r>
              <w:rPr>
                <w:sz w:val="20"/>
                <w:szCs w:val="20"/>
                <w:highlight w:val="white"/>
              </w:rPr>
              <w:t>Video modeling interviewing for a variety of positions</w:t>
            </w:r>
          </w:p>
        </w:tc>
      </w:tr>
      <w:tr w:rsidR="006332E1" w14:paraId="4B2863D9" w14:textId="77777777" w:rsidTr="004365D3">
        <w:trPr>
          <w:trHeight w:val="400"/>
        </w:trPr>
        <w:tc>
          <w:tcPr>
            <w:tcW w:w="2685" w:type="dxa"/>
            <w:shd w:val="clear" w:color="auto" w:fill="auto"/>
            <w:tcMar>
              <w:top w:w="100" w:type="dxa"/>
              <w:left w:w="100" w:type="dxa"/>
              <w:bottom w:w="100" w:type="dxa"/>
              <w:right w:w="100" w:type="dxa"/>
            </w:tcMar>
          </w:tcPr>
          <w:p w14:paraId="0258AAE5" w14:textId="77777777" w:rsidR="006332E1" w:rsidRDefault="00C861CD">
            <w:pPr>
              <w:widowControl w:val="0"/>
              <w:spacing w:line="240" w:lineRule="auto"/>
              <w:contextualSpacing w:val="0"/>
              <w:rPr>
                <w:b/>
                <w:sz w:val="20"/>
                <w:szCs w:val="20"/>
                <w:highlight w:val="white"/>
              </w:rPr>
            </w:pPr>
            <w:r>
              <w:rPr>
                <w:b/>
                <w:sz w:val="20"/>
                <w:szCs w:val="20"/>
                <w:highlight w:val="white"/>
              </w:rPr>
              <w:t xml:space="preserve">Are employment services available (other than online tools and resources)? </w:t>
            </w:r>
          </w:p>
        </w:tc>
        <w:tc>
          <w:tcPr>
            <w:tcW w:w="8175" w:type="dxa"/>
            <w:shd w:val="clear" w:color="auto" w:fill="auto"/>
            <w:tcMar>
              <w:top w:w="100" w:type="dxa"/>
              <w:left w:w="100" w:type="dxa"/>
              <w:bottom w:w="100" w:type="dxa"/>
              <w:right w:w="100" w:type="dxa"/>
            </w:tcMar>
          </w:tcPr>
          <w:p w14:paraId="1EA0B5BC" w14:textId="77777777" w:rsidR="006332E1" w:rsidRDefault="00C861CD">
            <w:pPr>
              <w:contextualSpacing w:val="0"/>
              <w:rPr>
                <w:sz w:val="20"/>
                <w:szCs w:val="20"/>
                <w:highlight w:val="white"/>
              </w:rPr>
            </w:pPr>
            <w:r>
              <w:rPr>
                <w:sz w:val="20"/>
                <w:szCs w:val="20"/>
                <w:highlight w:val="white"/>
              </w:rPr>
              <w:t xml:space="preserve">The </w:t>
            </w:r>
            <w:hyperlink r:id="rId7">
              <w:r>
                <w:rPr>
                  <w:color w:val="1155CC"/>
                  <w:sz w:val="20"/>
                  <w:szCs w:val="20"/>
                  <w:highlight w:val="white"/>
                  <w:u w:val="single"/>
                </w:rPr>
                <w:t>Comprehensive Case Management and Employment Program (CCMEP)</w:t>
              </w:r>
            </w:hyperlink>
            <w:r>
              <w:rPr>
                <w:sz w:val="20"/>
                <w:szCs w:val="20"/>
                <w:highlight w:val="white"/>
              </w:rPr>
              <w:t xml:space="preserve"> provides career services to eligible 14- to 24-year-olds to help them build career paths and find employment. </w:t>
            </w:r>
          </w:p>
          <w:p w14:paraId="1668BD07" w14:textId="77777777" w:rsidR="006332E1" w:rsidRDefault="006332E1">
            <w:pPr>
              <w:contextualSpacing w:val="0"/>
              <w:rPr>
                <w:sz w:val="20"/>
                <w:szCs w:val="20"/>
                <w:highlight w:val="white"/>
              </w:rPr>
            </w:pPr>
          </w:p>
        </w:tc>
      </w:tr>
      <w:tr w:rsidR="006332E1" w14:paraId="479092B5" w14:textId="77777777" w:rsidTr="004365D3">
        <w:trPr>
          <w:trHeight w:val="400"/>
        </w:trPr>
        <w:tc>
          <w:tcPr>
            <w:tcW w:w="2685" w:type="dxa"/>
            <w:shd w:val="clear" w:color="auto" w:fill="auto"/>
            <w:tcMar>
              <w:top w:w="100" w:type="dxa"/>
              <w:left w:w="100" w:type="dxa"/>
              <w:bottom w:w="100" w:type="dxa"/>
              <w:right w:w="100" w:type="dxa"/>
            </w:tcMar>
          </w:tcPr>
          <w:p w14:paraId="678B5F69" w14:textId="77777777" w:rsidR="006332E1" w:rsidRDefault="00C861CD">
            <w:pPr>
              <w:widowControl w:val="0"/>
              <w:spacing w:line="240" w:lineRule="auto"/>
              <w:contextualSpacing w:val="0"/>
              <w:rPr>
                <w:b/>
                <w:sz w:val="20"/>
                <w:szCs w:val="20"/>
                <w:highlight w:val="white"/>
              </w:rPr>
            </w:pPr>
            <w:r>
              <w:rPr>
                <w:b/>
                <w:sz w:val="20"/>
                <w:szCs w:val="20"/>
                <w:highlight w:val="white"/>
              </w:rPr>
              <w:lastRenderedPageBreak/>
              <w:t>Who is eligible for the CCMEP?</w:t>
            </w:r>
          </w:p>
        </w:tc>
        <w:tc>
          <w:tcPr>
            <w:tcW w:w="8175" w:type="dxa"/>
            <w:shd w:val="clear" w:color="auto" w:fill="auto"/>
            <w:tcMar>
              <w:top w:w="100" w:type="dxa"/>
              <w:left w:w="100" w:type="dxa"/>
              <w:bottom w:w="100" w:type="dxa"/>
              <w:right w:w="100" w:type="dxa"/>
            </w:tcMar>
          </w:tcPr>
          <w:p w14:paraId="68D82857" w14:textId="77777777" w:rsidR="006332E1" w:rsidRDefault="00C861CD">
            <w:pPr>
              <w:contextualSpacing w:val="0"/>
              <w:rPr>
                <w:color w:val="000020"/>
                <w:sz w:val="20"/>
                <w:szCs w:val="20"/>
                <w:highlight w:val="white"/>
              </w:rPr>
            </w:pPr>
            <w:r>
              <w:rPr>
                <w:color w:val="000020"/>
                <w:sz w:val="20"/>
                <w:szCs w:val="20"/>
                <w:highlight w:val="white"/>
              </w:rPr>
              <w:t xml:space="preserve">CCMEP eligibility is based on a comprehensive assessment of employment and training needs, as well as a basic skills assessment. Low  income is required for eligibility, however in some situations only the youth’s income is considered (not the family). </w:t>
            </w:r>
            <w:r>
              <w:rPr>
                <w:sz w:val="20"/>
                <w:szCs w:val="20"/>
                <w:highlight w:val="white"/>
              </w:rPr>
              <w:t xml:space="preserve">Youth with disabilities, including ASD, could be found eligible for CCMEP services. </w:t>
            </w:r>
          </w:p>
        </w:tc>
      </w:tr>
      <w:tr w:rsidR="006332E1" w14:paraId="53A6C1D0" w14:textId="77777777" w:rsidTr="004365D3">
        <w:trPr>
          <w:trHeight w:val="400"/>
        </w:trPr>
        <w:tc>
          <w:tcPr>
            <w:tcW w:w="2685" w:type="dxa"/>
            <w:shd w:val="clear" w:color="auto" w:fill="auto"/>
            <w:tcMar>
              <w:top w:w="100" w:type="dxa"/>
              <w:left w:w="100" w:type="dxa"/>
              <w:bottom w:w="100" w:type="dxa"/>
              <w:right w:w="100" w:type="dxa"/>
            </w:tcMar>
          </w:tcPr>
          <w:p w14:paraId="10590253" w14:textId="77777777" w:rsidR="006332E1" w:rsidRDefault="00C861CD">
            <w:pPr>
              <w:widowControl w:val="0"/>
              <w:spacing w:line="240" w:lineRule="auto"/>
              <w:contextualSpacing w:val="0"/>
              <w:rPr>
                <w:b/>
                <w:sz w:val="20"/>
                <w:szCs w:val="20"/>
                <w:highlight w:val="white"/>
              </w:rPr>
            </w:pPr>
            <w:r>
              <w:rPr>
                <w:b/>
                <w:sz w:val="20"/>
                <w:szCs w:val="20"/>
                <w:highlight w:val="white"/>
              </w:rPr>
              <w:t xml:space="preserve">How could the CCMEP assist a person to be successful in employment? </w:t>
            </w:r>
          </w:p>
        </w:tc>
        <w:tc>
          <w:tcPr>
            <w:tcW w:w="8175" w:type="dxa"/>
            <w:shd w:val="clear" w:color="auto" w:fill="auto"/>
            <w:tcMar>
              <w:top w:w="100" w:type="dxa"/>
              <w:left w:w="100" w:type="dxa"/>
              <w:bottom w:w="100" w:type="dxa"/>
              <w:right w:w="100" w:type="dxa"/>
            </w:tcMar>
          </w:tcPr>
          <w:p w14:paraId="41BAD217" w14:textId="77777777" w:rsidR="006332E1" w:rsidRDefault="004365D3">
            <w:pPr>
              <w:contextualSpacing w:val="0"/>
              <w:rPr>
                <w:sz w:val="20"/>
                <w:szCs w:val="20"/>
                <w:highlight w:val="white"/>
              </w:rPr>
            </w:pPr>
            <w:hyperlink r:id="rId8">
              <w:r w:rsidR="00C861CD">
                <w:rPr>
                  <w:color w:val="1155CC"/>
                  <w:sz w:val="20"/>
                  <w:szCs w:val="20"/>
                  <w:highlight w:val="white"/>
                  <w:u w:val="single"/>
                </w:rPr>
                <w:t>CCMEP</w:t>
              </w:r>
            </w:hyperlink>
            <w:r w:rsidR="00C861CD">
              <w:rPr>
                <w:color w:val="000020"/>
                <w:sz w:val="20"/>
                <w:szCs w:val="20"/>
                <w:highlight w:val="white"/>
              </w:rPr>
              <w:t xml:space="preserve"> provides services to support goals outlined in their individual opportunity plan (IOP), which may include support to obtain a high school diploma, job placement, work experience, and other supportive services.  </w:t>
            </w:r>
            <w:r w:rsidR="00C861CD">
              <w:rPr>
                <w:sz w:val="20"/>
                <w:szCs w:val="20"/>
                <w:highlight w:val="white"/>
              </w:rPr>
              <w:t xml:space="preserve">These include a variety of services such as:  </w:t>
            </w:r>
          </w:p>
          <w:p w14:paraId="371A8F14" w14:textId="77777777" w:rsidR="006332E1" w:rsidRDefault="00C861CD">
            <w:pPr>
              <w:numPr>
                <w:ilvl w:val="0"/>
                <w:numId w:val="1"/>
              </w:numPr>
              <w:rPr>
                <w:sz w:val="20"/>
                <w:szCs w:val="20"/>
                <w:highlight w:val="white"/>
              </w:rPr>
            </w:pPr>
            <w:r>
              <w:rPr>
                <w:sz w:val="20"/>
                <w:szCs w:val="20"/>
                <w:highlight w:val="white"/>
              </w:rPr>
              <w:t xml:space="preserve">Assessments, career guidance and planning, and job market information </w:t>
            </w:r>
          </w:p>
          <w:p w14:paraId="10EFBA20" w14:textId="77777777" w:rsidR="006332E1" w:rsidRDefault="00C861CD">
            <w:pPr>
              <w:numPr>
                <w:ilvl w:val="0"/>
                <w:numId w:val="1"/>
              </w:numPr>
              <w:rPr>
                <w:sz w:val="20"/>
                <w:szCs w:val="20"/>
                <w:highlight w:val="white"/>
              </w:rPr>
            </w:pPr>
            <w:r>
              <w:rPr>
                <w:sz w:val="20"/>
                <w:szCs w:val="20"/>
                <w:highlight w:val="white"/>
              </w:rPr>
              <w:t xml:space="preserve">Financial literacy education and budgeting </w:t>
            </w:r>
          </w:p>
          <w:p w14:paraId="57C41884" w14:textId="77777777" w:rsidR="006332E1" w:rsidRDefault="00C861CD">
            <w:pPr>
              <w:numPr>
                <w:ilvl w:val="0"/>
                <w:numId w:val="1"/>
              </w:numPr>
              <w:rPr>
                <w:sz w:val="20"/>
                <w:szCs w:val="20"/>
                <w:highlight w:val="white"/>
              </w:rPr>
            </w:pPr>
            <w:r>
              <w:rPr>
                <w:sz w:val="20"/>
                <w:szCs w:val="20"/>
                <w:highlight w:val="white"/>
              </w:rPr>
              <w:t xml:space="preserve">Education and workforce preparation </w:t>
            </w:r>
          </w:p>
          <w:p w14:paraId="18ED7751" w14:textId="77777777" w:rsidR="006332E1" w:rsidRDefault="00C861CD">
            <w:pPr>
              <w:numPr>
                <w:ilvl w:val="0"/>
                <w:numId w:val="1"/>
              </w:numPr>
              <w:rPr>
                <w:sz w:val="20"/>
                <w:szCs w:val="20"/>
                <w:highlight w:val="white"/>
              </w:rPr>
            </w:pPr>
            <w:r>
              <w:rPr>
                <w:sz w:val="20"/>
                <w:szCs w:val="20"/>
                <w:highlight w:val="white"/>
              </w:rPr>
              <w:t xml:space="preserve">Pre-employment and occupational skills training </w:t>
            </w:r>
          </w:p>
          <w:p w14:paraId="69071F76" w14:textId="77777777" w:rsidR="006332E1" w:rsidRDefault="00C861CD">
            <w:pPr>
              <w:numPr>
                <w:ilvl w:val="0"/>
                <w:numId w:val="1"/>
              </w:numPr>
              <w:rPr>
                <w:sz w:val="20"/>
                <w:szCs w:val="20"/>
                <w:highlight w:val="white"/>
              </w:rPr>
            </w:pPr>
            <w:r>
              <w:rPr>
                <w:sz w:val="20"/>
                <w:szCs w:val="20"/>
                <w:highlight w:val="white"/>
              </w:rPr>
              <w:t xml:space="preserve">Paid and unpaid work experiences, including job shadowing, summer jobs and pre-apprenticeships </w:t>
            </w:r>
          </w:p>
          <w:p w14:paraId="514EE52E" w14:textId="77777777" w:rsidR="006332E1" w:rsidRDefault="00C861CD">
            <w:pPr>
              <w:numPr>
                <w:ilvl w:val="0"/>
                <w:numId w:val="1"/>
              </w:numPr>
              <w:rPr>
                <w:sz w:val="20"/>
                <w:szCs w:val="20"/>
                <w:highlight w:val="white"/>
              </w:rPr>
            </w:pPr>
            <w:r>
              <w:rPr>
                <w:sz w:val="20"/>
                <w:szCs w:val="20"/>
                <w:highlight w:val="white"/>
              </w:rPr>
              <w:t xml:space="preserve">Supportive services, including transportation and reasonable accommodations for individuals with disabilities </w:t>
            </w:r>
          </w:p>
          <w:p w14:paraId="5ABB0474" w14:textId="77777777" w:rsidR="006332E1" w:rsidRDefault="00C861CD">
            <w:pPr>
              <w:numPr>
                <w:ilvl w:val="0"/>
                <w:numId w:val="1"/>
              </w:numPr>
              <w:rPr>
                <w:sz w:val="20"/>
                <w:szCs w:val="20"/>
                <w:highlight w:val="white"/>
              </w:rPr>
            </w:pPr>
            <w:r>
              <w:rPr>
                <w:sz w:val="20"/>
                <w:szCs w:val="20"/>
                <w:highlight w:val="white"/>
              </w:rPr>
              <w:t>Job matching, placement and support</w:t>
            </w:r>
          </w:p>
        </w:tc>
      </w:tr>
      <w:tr w:rsidR="006332E1" w14:paraId="2AA03170" w14:textId="77777777" w:rsidTr="004365D3">
        <w:trPr>
          <w:trHeight w:val="400"/>
        </w:trPr>
        <w:tc>
          <w:tcPr>
            <w:tcW w:w="2685" w:type="dxa"/>
            <w:shd w:val="clear" w:color="auto" w:fill="auto"/>
            <w:tcMar>
              <w:top w:w="100" w:type="dxa"/>
              <w:left w:w="100" w:type="dxa"/>
              <w:bottom w:w="100" w:type="dxa"/>
              <w:right w:w="100" w:type="dxa"/>
            </w:tcMar>
          </w:tcPr>
          <w:p w14:paraId="3F662314" w14:textId="77777777" w:rsidR="006332E1" w:rsidRDefault="00C861CD">
            <w:pPr>
              <w:widowControl w:val="0"/>
              <w:spacing w:line="240" w:lineRule="auto"/>
              <w:contextualSpacing w:val="0"/>
              <w:rPr>
                <w:b/>
                <w:sz w:val="20"/>
                <w:szCs w:val="20"/>
                <w:highlight w:val="white"/>
              </w:rPr>
            </w:pPr>
            <w:r>
              <w:rPr>
                <w:b/>
                <w:sz w:val="20"/>
                <w:szCs w:val="20"/>
                <w:highlight w:val="white"/>
              </w:rPr>
              <w:t xml:space="preserve">How do I learn more about CCMEP in my county? </w:t>
            </w:r>
          </w:p>
        </w:tc>
        <w:tc>
          <w:tcPr>
            <w:tcW w:w="8175" w:type="dxa"/>
            <w:shd w:val="clear" w:color="auto" w:fill="auto"/>
            <w:tcMar>
              <w:top w:w="100" w:type="dxa"/>
              <w:left w:w="100" w:type="dxa"/>
              <w:bottom w:w="100" w:type="dxa"/>
              <w:right w:w="100" w:type="dxa"/>
            </w:tcMar>
          </w:tcPr>
          <w:p w14:paraId="4C5C79ED" w14:textId="77777777" w:rsidR="006332E1" w:rsidRDefault="00C861CD">
            <w:pPr>
              <w:contextualSpacing w:val="0"/>
              <w:rPr>
                <w:color w:val="000020"/>
                <w:sz w:val="20"/>
                <w:szCs w:val="20"/>
                <w:highlight w:val="white"/>
              </w:rPr>
            </w:pPr>
            <w:r>
              <w:rPr>
                <w:color w:val="000020"/>
                <w:sz w:val="20"/>
                <w:szCs w:val="20"/>
                <w:highlight w:val="white"/>
              </w:rPr>
              <w:t>Each County has a specific CCMEP contact. The contact list is  located</w:t>
            </w:r>
            <w:hyperlink r:id="rId9">
              <w:r>
                <w:rPr>
                  <w:color w:val="1155CC"/>
                  <w:sz w:val="20"/>
                  <w:szCs w:val="20"/>
                  <w:highlight w:val="white"/>
                  <w:u w:val="single"/>
                </w:rPr>
                <w:t xml:space="preserve"> here. </w:t>
              </w:r>
            </w:hyperlink>
            <w:r>
              <w:rPr>
                <w:color w:val="000020"/>
                <w:sz w:val="20"/>
                <w:szCs w:val="20"/>
                <w:highlight w:val="white"/>
              </w:rPr>
              <w:t xml:space="preserve">Or email </w:t>
            </w:r>
            <w:hyperlink r:id="rId10">
              <w:r>
                <w:rPr>
                  <w:color w:val="1155CC"/>
                  <w:sz w:val="20"/>
                  <w:szCs w:val="20"/>
                  <w:highlight w:val="white"/>
                  <w:u w:val="single"/>
                </w:rPr>
                <w:t>CCMEPQNA@jfs.ohio.gov</w:t>
              </w:r>
            </w:hyperlink>
            <w:r>
              <w:rPr>
                <w:color w:val="000020"/>
                <w:sz w:val="20"/>
                <w:szCs w:val="20"/>
                <w:highlight w:val="white"/>
              </w:rPr>
              <w:t>.</w:t>
            </w:r>
          </w:p>
          <w:p w14:paraId="12BE53C4" w14:textId="77777777" w:rsidR="006332E1" w:rsidRDefault="006332E1">
            <w:pPr>
              <w:contextualSpacing w:val="0"/>
              <w:rPr>
                <w:color w:val="000020"/>
                <w:sz w:val="20"/>
                <w:szCs w:val="20"/>
                <w:highlight w:val="white"/>
              </w:rPr>
            </w:pPr>
          </w:p>
        </w:tc>
      </w:tr>
      <w:tr w:rsidR="006332E1" w14:paraId="3F254D23" w14:textId="77777777" w:rsidTr="004365D3">
        <w:trPr>
          <w:trHeight w:val="400"/>
        </w:trPr>
        <w:tc>
          <w:tcPr>
            <w:tcW w:w="2685" w:type="dxa"/>
            <w:shd w:val="clear" w:color="auto" w:fill="auto"/>
            <w:tcMar>
              <w:top w:w="100" w:type="dxa"/>
              <w:left w:w="100" w:type="dxa"/>
              <w:bottom w:w="100" w:type="dxa"/>
              <w:right w:w="100" w:type="dxa"/>
            </w:tcMar>
          </w:tcPr>
          <w:p w14:paraId="5E95681B" w14:textId="77777777" w:rsidR="006332E1" w:rsidRDefault="00C861CD">
            <w:pPr>
              <w:widowControl w:val="0"/>
              <w:spacing w:line="240" w:lineRule="auto"/>
              <w:contextualSpacing w:val="0"/>
              <w:rPr>
                <w:b/>
                <w:sz w:val="20"/>
                <w:szCs w:val="20"/>
                <w:highlight w:val="white"/>
              </w:rPr>
            </w:pPr>
            <w:r>
              <w:rPr>
                <w:b/>
                <w:sz w:val="20"/>
                <w:szCs w:val="20"/>
                <w:highlight w:val="white"/>
              </w:rPr>
              <w:t>Can a person be eligible for and receive OMJ/CCMEP services at the same time as other agency services (example: OOD and CBDD)?</w:t>
            </w:r>
          </w:p>
        </w:tc>
        <w:tc>
          <w:tcPr>
            <w:tcW w:w="8175" w:type="dxa"/>
            <w:shd w:val="clear" w:color="auto" w:fill="auto"/>
            <w:tcMar>
              <w:top w:w="100" w:type="dxa"/>
              <w:left w:w="100" w:type="dxa"/>
              <w:bottom w:w="100" w:type="dxa"/>
              <w:right w:w="100" w:type="dxa"/>
            </w:tcMar>
          </w:tcPr>
          <w:p w14:paraId="24C7CC85" w14:textId="77777777" w:rsidR="006332E1" w:rsidRDefault="00C861CD">
            <w:pPr>
              <w:contextualSpacing w:val="0"/>
              <w:rPr>
                <w:sz w:val="20"/>
                <w:szCs w:val="20"/>
              </w:rPr>
            </w:pPr>
            <w:r>
              <w:rPr>
                <w:sz w:val="20"/>
                <w:szCs w:val="20"/>
              </w:rPr>
              <w:t xml:space="preserve">Yes. A person </w:t>
            </w:r>
            <w:r>
              <w:rPr>
                <w:i/>
                <w:sz w:val="20"/>
                <w:szCs w:val="20"/>
              </w:rPr>
              <w:t>may be</w:t>
            </w:r>
            <w:r>
              <w:rPr>
                <w:sz w:val="20"/>
                <w:szCs w:val="20"/>
              </w:rPr>
              <w:t xml:space="preserve"> eligible for multiple agency services at the same time and could receive support from more than one agency. However, the agencies should plan together as a team in order to:</w:t>
            </w:r>
          </w:p>
          <w:p w14:paraId="1FFDD5B2" w14:textId="77777777" w:rsidR="006332E1" w:rsidRDefault="00C861CD">
            <w:pPr>
              <w:numPr>
                <w:ilvl w:val="0"/>
                <w:numId w:val="2"/>
              </w:numPr>
              <w:rPr>
                <w:sz w:val="20"/>
                <w:szCs w:val="20"/>
              </w:rPr>
            </w:pPr>
            <w:r>
              <w:rPr>
                <w:sz w:val="20"/>
                <w:szCs w:val="20"/>
              </w:rPr>
              <w:t xml:space="preserve">Coordinate the service and support </w:t>
            </w:r>
          </w:p>
          <w:p w14:paraId="67FBDD29" w14:textId="77777777" w:rsidR="006332E1" w:rsidRDefault="00C861CD">
            <w:pPr>
              <w:numPr>
                <w:ilvl w:val="0"/>
                <w:numId w:val="2"/>
              </w:numPr>
              <w:rPr>
                <w:sz w:val="20"/>
                <w:szCs w:val="20"/>
              </w:rPr>
            </w:pPr>
            <w:r>
              <w:rPr>
                <w:sz w:val="20"/>
                <w:szCs w:val="20"/>
              </w:rPr>
              <w:t>Avoid duplication in service</w:t>
            </w:r>
          </w:p>
          <w:p w14:paraId="44606362" w14:textId="77777777" w:rsidR="006332E1" w:rsidRDefault="00C861CD">
            <w:pPr>
              <w:numPr>
                <w:ilvl w:val="0"/>
                <w:numId w:val="2"/>
              </w:numPr>
              <w:rPr>
                <w:sz w:val="20"/>
                <w:szCs w:val="20"/>
              </w:rPr>
            </w:pPr>
            <w:r>
              <w:rPr>
                <w:sz w:val="20"/>
                <w:szCs w:val="20"/>
              </w:rPr>
              <w:t>Assure the most appropriate services for the individual are provided</w:t>
            </w:r>
          </w:p>
          <w:p w14:paraId="40D1793F" w14:textId="77777777" w:rsidR="006332E1" w:rsidRDefault="00C861CD">
            <w:pPr>
              <w:numPr>
                <w:ilvl w:val="0"/>
                <w:numId w:val="2"/>
              </w:numPr>
              <w:rPr>
                <w:sz w:val="20"/>
                <w:szCs w:val="20"/>
              </w:rPr>
            </w:pPr>
            <w:r>
              <w:rPr>
                <w:sz w:val="20"/>
                <w:szCs w:val="20"/>
              </w:rPr>
              <w:t>Organize the services to compliment and maximize the value of each</w:t>
            </w:r>
          </w:p>
        </w:tc>
      </w:tr>
      <w:tr w:rsidR="006332E1" w14:paraId="385ADE87" w14:textId="77777777" w:rsidTr="004365D3">
        <w:trPr>
          <w:trHeight w:val="400"/>
        </w:trPr>
        <w:tc>
          <w:tcPr>
            <w:tcW w:w="2685" w:type="dxa"/>
            <w:shd w:val="clear" w:color="auto" w:fill="auto"/>
            <w:tcMar>
              <w:top w:w="100" w:type="dxa"/>
              <w:left w:w="100" w:type="dxa"/>
              <w:bottom w:w="100" w:type="dxa"/>
              <w:right w:w="100" w:type="dxa"/>
            </w:tcMar>
          </w:tcPr>
          <w:p w14:paraId="150D1D19" w14:textId="77777777" w:rsidR="006332E1" w:rsidRDefault="00C861CD">
            <w:pPr>
              <w:widowControl w:val="0"/>
              <w:spacing w:line="240" w:lineRule="auto"/>
              <w:contextualSpacing w:val="0"/>
              <w:rPr>
                <w:b/>
                <w:sz w:val="20"/>
                <w:szCs w:val="20"/>
                <w:highlight w:val="white"/>
              </w:rPr>
            </w:pPr>
            <w:r>
              <w:rPr>
                <w:b/>
                <w:sz w:val="20"/>
                <w:szCs w:val="20"/>
                <w:highlight w:val="white"/>
              </w:rPr>
              <w:t>What types of services can be offered to youth in the transition years?</w:t>
            </w:r>
          </w:p>
        </w:tc>
        <w:tc>
          <w:tcPr>
            <w:tcW w:w="8175" w:type="dxa"/>
            <w:shd w:val="clear" w:color="auto" w:fill="auto"/>
            <w:tcMar>
              <w:top w:w="100" w:type="dxa"/>
              <w:left w:w="100" w:type="dxa"/>
              <w:bottom w:w="100" w:type="dxa"/>
              <w:right w:w="100" w:type="dxa"/>
            </w:tcMar>
          </w:tcPr>
          <w:p w14:paraId="3321F258" w14:textId="77777777" w:rsidR="006332E1" w:rsidRDefault="00C861CD">
            <w:pPr>
              <w:contextualSpacing w:val="0"/>
              <w:rPr>
                <w:sz w:val="20"/>
                <w:szCs w:val="20"/>
              </w:rPr>
            </w:pPr>
            <w:r>
              <w:rPr>
                <w:sz w:val="20"/>
                <w:szCs w:val="20"/>
              </w:rPr>
              <w:t xml:space="preserve">CCMEP by definition is focused solely on transition youth. The wide variety of services potentially available through the CCMEP targets youth ages 14-24. The priority is out-of-school </w:t>
            </w:r>
            <w:proofErr w:type="gramStart"/>
            <w:r>
              <w:rPr>
                <w:sz w:val="20"/>
                <w:szCs w:val="20"/>
              </w:rPr>
              <w:t>youth,</w:t>
            </w:r>
            <w:proofErr w:type="gramEnd"/>
            <w:r>
              <w:rPr>
                <w:sz w:val="20"/>
                <w:szCs w:val="20"/>
              </w:rPr>
              <w:t xml:space="preserve"> however a certain percent of the program funds are available to assist in-school youth.  </w:t>
            </w:r>
          </w:p>
        </w:tc>
      </w:tr>
      <w:tr w:rsidR="006332E1" w14:paraId="6D29233A" w14:textId="77777777" w:rsidTr="004365D3">
        <w:trPr>
          <w:trHeight w:val="400"/>
        </w:trPr>
        <w:tc>
          <w:tcPr>
            <w:tcW w:w="2685" w:type="dxa"/>
            <w:shd w:val="clear" w:color="auto" w:fill="auto"/>
            <w:tcMar>
              <w:top w:w="100" w:type="dxa"/>
              <w:left w:w="100" w:type="dxa"/>
              <w:bottom w:w="100" w:type="dxa"/>
              <w:right w:w="100" w:type="dxa"/>
            </w:tcMar>
          </w:tcPr>
          <w:p w14:paraId="1117C29A" w14:textId="77777777" w:rsidR="006332E1" w:rsidRDefault="00C861CD">
            <w:pPr>
              <w:widowControl w:val="0"/>
              <w:spacing w:line="240" w:lineRule="auto"/>
              <w:contextualSpacing w:val="0"/>
              <w:rPr>
                <w:b/>
                <w:sz w:val="20"/>
                <w:szCs w:val="20"/>
                <w:highlight w:val="white"/>
              </w:rPr>
            </w:pPr>
            <w:r>
              <w:rPr>
                <w:b/>
                <w:sz w:val="20"/>
                <w:szCs w:val="20"/>
                <w:highlight w:val="white"/>
              </w:rPr>
              <w:t>Where can additional information be found?</w:t>
            </w:r>
          </w:p>
        </w:tc>
        <w:tc>
          <w:tcPr>
            <w:tcW w:w="8175" w:type="dxa"/>
            <w:shd w:val="clear" w:color="auto" w:fill="auto"/>
            <w:tcMar>
              <w:top w:w="100" w:type="dxa"/>
              <w:left w:w="100" w:type="dxa"/>
              <w:bottom w:w="100" w:type="dxa"/>
              <w:right w:w="100" w:type="dxa"/>
            </w:tcMar>
          </w:tcPr>
          <w:p w14:paraId="57915474" w14:textId="77777777" w:rsidR="006332E1" w:rsidRDefault="00C861CD">
            <w:pPr>
              <w:numPr>
                <w:ilvl w:val="0"/>
                <w:numId w:val="3"/>
              </w:numPr>
              <w:rPr>
                <w:sz w:val="20"/>
                <w:szCs w:val="20"/>
              </w:rPr>
            </w:pPr>
            <w:proofErr w:type="spellStart"/>
            <w:r>
              <w:rPr>
                <w:sz w:val="20"/>
                <w:szCs w:val="20"/>
              </w:rPr>
              <w:t>OhioMeansJobs</w:t>
            </w:r>
            <w:proofErr w:type="spellEnd"/>
            <w:r>
              <w:rPr>
                <w:sz w:val="20"/>
                <w:szCs w:val="20"/>
              </w:rPr>
              <w:t xml:space="preserve"> website: </w:t>
            </w:r>
            <w:hyperlink r:id="rId11">
              <w:r>
                <w:rPr>
                  <w:color w:val="1155CC"/>
                  <w:sz w:val="20"/>
                  <w:szCs w:val="20"/>
                  <w:u w:val="single"/>
                </w:rPr>
                <w:t>https://jobseeker.ohiomeansjobs.monster.com/</w:t>
              </w:r>
            </w:hyperlink>
          </w:p>
          <w:p w14:paraId="7D61BD0E" w14:textId="77777777" w:rsidR="006332E1" w:rsidRDefault="00C861CD">
            <w:pPr>
              <w:numPr>
                <w:ilvl w:val="0"/>
                <w:numId w:val="3"/>
              </w:numPr>
              <w:rPr>
                <w:sz w:val="20"/>
                <w:szCs w:val="20"/>
              </w:rPr>
            </w:pPr>
            <w:proofErr w:type="spellStart"/>
            <w:r>
              <w:rPr>
                <w:sz w:val="20"/>
                <w:szCs w:val="20"/>
              </w:rPr>
              <w:t>OhioMEansJobs</w:t>
            </w:r>
            <w:proofErr w:type="spellEnd"/>
            <w:r>
              <w:rPr>
                <w:sz w:val="20"/>
                <w:szCs w:val="20"/>
              </w:rPr>
              <w:t xml:space="preserve"> Centers: </w:t>
            </w:r>
            <w:hyperlink r:id="rId12">
              <w:r>
                <w:rPr>
                  <w:color w:val="1155CC"/>
                  <w:sz w:val="20"/>
                  <w:szCs w:val="20"/>
                  <w:u w:val="single"/>
                </w:rPr>
                <w:t>http://jfs.ohio.gov/owd/WIOA/map.stm</w:t>
              </w:r>
            </w:hyperlink>
          </w:p>
          <w:p w14:paraId="299EB6E7" w14:textId="77777777" w:rsidR="006332E1" w:rsidRDefault="00C861CD">
            <w:pPr>
              <w:numPr>
                <w:ilvl w:val="0"/>
                <w:numId w:val="3"/>
              </w:numPr>
              <w:rPr>
                <w:sz w:val="20"/>
                <w:szCs w:val="20"/>
              </w:rPr>
            </w:pPr>
            <w:r>
              <w:rPr>
                <w:sz w:val="20"/>
                <w:szCs w:val="20"/>
              </w:rPr>
              <w:t xml:space="preserve">CCMEP Lead Agency Contacts: </w:t>
            </w:r>
            <w:hyperlink r:id="rId13">
              <w:r>
                <w:rPr>
                  <w:color w:val="1155CC"/>
                  <w:sz w:val="20"/>
                  <w:szCs w:val="20"/>
                  <w:u w:val="single"/>
                </w:rPr>
                <w:t>http://jfs.ohio.gov/owd/CCMEP/Lead-Agency.stm</w:t>
              </w:r>
            </w:hyperlink>
          </w:p>
          <w:p w14:paraId="48DB7649" w14:textId="77777777" w:rsidR="006332E1" w:rsidRDefault="00C861CD">
            <w:pPr>
              <w:numPr>
                <w:ilvl w:val="0"/>
                <w:numId w:val="3"/>
              </w:numPr>
              <w:rPr>
                <w:sz w:val="20"/>
                <w:szCs w:val="20"/>
              </w:rPr>
            </w:pPr>
            <w:r>
              <w:rPr>
                <w:sz w:val="20"/>
                <w:szCs w:val="20"/>
              </w:rPr>
              <w:t xml:space="preserve">ODJFS County Directory: </w:t>
            </w:r>
            <w:hyperlink r:id="rId14">
              <w:r>
                <w:rPr>
                  <w:color w:val="1155CC"/>
                  <w:sz w:val="20"/>
                  <w:szCs w:val="20"/>
                  <w:u w:val="single"/>
                </w:rPr>
                <w:t>http://jfs.ohio.gov/County/County_Directory.stm</w:t>
              </w:r>
            </w:hyperlink>
          </w:p>
          <w:p w14:paraId="2655BB78" w14:textId="77777777" w:rsidR="006332E1" w:rsidRDefault="006332E1">
            <w:pPr>
              <w:ind w:left="720"/>
              <w:contextualSpacing w:val="0"/>
              <w:rPr>
                <w:sz w:val="20"/>
                <w:szCs w:val="20"/>
              </w:rPr>
            </w:pPr>
          </w:p>
          <w:p w14:paraId="4205A21E" w14:textId="77777777" w:rsidR="006332E1" w:rsidRDefault="006332E1">
            <w:pPr>
              <w:contextualSpacing w:val="0"/>
              <w:rPr>
                <w:sz w:val="20"/>
                <w:szCs w:val="20"/>
              </w:rPr>
            </w:pPr>
          </w:p>
        </w:tc>
      </w:tr>
    </w:tbl>
    <w:p w14:paraId="5E39491A" w14:textId="77777777" w:rsidR="006332E1" w:rsidRDefault="006332E1">
      <w:pPr>
        <w:contextualSpacing w:val="0"/>
      </w:pPr>
    </w:p>
    <w:sectPr w:rsidR="006332E1" w:rsidSect="00C861CD">
      <w:pgSz w:w="12240" w:h="15840"/>
      <w:pgMar w:top="801"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F39"/>
    <w:multiLevelType w:val="multilevel"/>
    <w:tmpl w:val="186C4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78040F"/>
    <w:multiLevelType w:val="multilevel"/>
    <w:tmpl w:val="DE3C3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840C78"/>
    <w:multiLevelType w:val="multilevel"/>
    <w:tmpl w:val="F840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73168B"/>
    <w:multiLevelType w:val="multilevel"/>
    <w:tmpl w:val="F2BE1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E1"/>
    <w:rsid w:val="004365D3"/>
    <w:rsid w:val="006332E1"/>
    <w:rsid w:val="00C8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3E731"/>
  <w15:docId w15:val="{1038BE5B-5199-9040-84E4-BF8EF00D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jfs.ohio.gov/owd/CCMEP/docs/ProgramSummary.stm" TargetMode="External"/><Relationship Id="rId13" Type="http://schemas.openxmlformats.org/officeDocument/2006/relationships/hyperlink" Target="http://jfs.ohio.gov/owd/CCMEP/Lead-Agency.stm" TargetMode="External"/><Relationship Id="rId3" Type="http://schemas.openxmlformats.org/officeDocument/2006/relationships/settings" Target="settings.xml"/><Relationship Id="rId7" Type="http://schemas.openxmlformats.org/officeDocument/2006/relationships/hyperlink" Target="http://jfs.ohio.gov/owd/CCMEP/index.stm" TargetMode="External"/><Relationship Id="rId12" Type="http://schemas.openxmlformats.org/officeDocument/2006/relationships/hyperlink" Target="http://jfs.ohio.gov/owd/WIOA/map.s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hiomeansjobs.com" TargetMode="External"/><Relationship Id="rId11" Type="http://schemas.openxmlformats.org/officeDocument/2006/relationships/hyperlink" Target="https://jobseeker.ohiomeansjobs.monster.com/" TargetMode="External"/><Relationship Id="rId5" Type="http://schemas.openxmlformats.org/officeDocument/2006/relationships/hyperlink" Target="http://jfs.ohio.gov/owd/wioa/map.stm" TargetMode="External"/><Relationship Id="rId15" Type="http://schemas.openxmlformats.org/officeDocument/2006/relationships/fontTable" Target="fontTable.xml"/><Relationship Id="rId10" Type="http://schemas.openxmlformats.org/officeDocument/2006/relationships/hyperlink" Target="mailto:CCMEPQNA@jfs.ohio.gov" TargetMode="External"/><Relationship Id="rId4" Type="http://schemas.openxmlformats.org/officeDocument/2006/relationships/webSettings" Target="webSettings.xml"/><Relationship Id="rId9" Type="http://schemas.openxmlformats.org/officeDocument/2006/relationships/hyperlink" Target="http://jfs.ohio.gov/owd/CCMEP/docs/Contacts.stm" TargetMode="External"/><Relationship Id="rId14" Type="http://schemas.openxmlformats.org/officeDocument/2006/relationships/hyperlink" Target="http://jfs.ohio.gov/County/County_Directory.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2018-12-07T19:19:00Z</dcterms:created>
  <dcterms:modified xsi:type="dcterms:W3CDTF">2018-12-07T19:19:00Z</dcterms:modified>
</cp:coreProperties>
</file>