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606B" w14:textId="77777777" w:rsidR="00BE2A38" w:rsidRDefault="00B67E3B">
      <w:pPr>
        <w:ind w:left="-900" w:right="-990"/>
        <w:contextualSpacing w:val="0"/>
        <w:jc w:val="center"/>
        <w:rPr>
          <w:rFonts w:ascii="Avenir" w:eastAsia="Avenir" w:hAnsi="Avenir" w:cs="Avenir"/>
          <w:b/>
          <w:sz w:val="24"/>
          <w:szCs w:val="24"/>
        </w:rPr>
      </w:pPr>
      <w:bookmarkStart w:id="0" w:name="_GoBack"/>
      <w:bookmarkEnd w:id="0"/>
      <w:r>
        <w:rPr>
          <w:rFonts w:ascii="Avenir" w:eastAsia="Avenir" w:hAnsi="Avenir" w:cs="Avenir"/>
          <w:b/>
          <w:sz w:val="24"/>
          <w:szCs w:val="24"/>
        </w:rPr>
        <w:t xml:space="preserve">Employment Terms and Definitions </w:t>
      </w:r>
    </w:p>
    <w:p w14:paraId="2B19EC12" w14:textId="77777777" w:rsidR="00BE2A38" w:rsidRDefault="00BE2A38">
      <w:pPr>
        <w:ind w:left="-900" w:right="-990"/>
        <w:contextualSpacing w:val="0"/>
        <w:jc w:val="center"/>
        <w:rPr>
          <w:rFonts w:ascii="Avenir" w:eastAsia="Avenir" w:hAnsi="Avenir" w:cs="Avenir"/>
          <w:b/>
        </w:rPr>
      </w:pPr>
    </w:p>
    <w:p w14:paraId="1C824A7B" w14:textId="77777777" w:rsidR="00BE2A38" w:rsidRDefault="00B67E3B">
      <w:pPr>
        <w:ind w:left="-900" w:right="-990"/>
        <w:contextualSpacing w:val="0"/>
      </w:pPr>
      <w:r>
        <w:rPr>
          <w:rFonts w:ascii="Avenir" w:eastAsia="Avenir" w:hAnsi="Avenir" w:cs="Avenir"/>
        </w:rPr>
        <w:t>Navigating the Path to Employment often requires understanding the terminology of employment, employment supports and vocational services. Although the subject can sometimes be complicated, the information below reviews terms and information to help interp</w:t>
      </w:r>
      <w:r>
        <w:rPr>
          <w:rFonts w:ascii="Avenir" w:eastAsia="Avenir" w:hAnsi="Avenir" w:cs="Avenir"/>
        </w:rPr>
        <w:t xml:space="preserve">ret and understand the discussions that may occur when planning for and pursuing employment for individuals with ASD. </w:t>
      </w:r>
    </w:p>
    <w:p w14:paraId="4D6FFF4A" w14:textId="77777777" w:rsidR="00BE2A38" w:rsidRDefault="00BE2A38">
      <w:pPr>
        <w:ind w:left="-450" w:right="-720"/>
        <w:contextualSpacing w:val="0"/>
      </w:pPr>
    </w:p>
    <w:tbl>
      <w:tblPr>
        <w:tblStyle w:val="a"/>
        <w:tblW w:w="1128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850"/>
      </w:tblGrid>
      <w:tr w:rsidR="00BE2A38" w14:paraId="6007FB38" w14:textId="77777777">
        <w:tc>
          <w:tcPr>
            <w:tcW w:w="2430" w:type="dxa"/>
            <w:shd w:val="clear" w:color="auto" w:fill="EFEFEF"/>
            <w:tcMar>
              <w:top w:w="100" w:type="dxa"/>
              <w:left w:w="100" w:type="dxa"/>
              <w:bottom w:w="100" w:type="dxa"/>
              <w:right w:w="100" w:type="dxa"/>
            </w:tcMar>
          </w:tcPr>
          <w:p w14:paraId="5CA192F9" w14:textId="77777777" w:rsidR="00BE2A38" w:rsidRDefault="00B67E3B">
            <w:pPr>
              <w:widowControl w:val="0"/>
              <w:spacing w:line="240" w:lineRule="auto"/>
              <w:contextualSpacing w:val="0"/>
              <w:rPr>
                <w:b/>
              </w:rPr>
            </w:pPr>
            <w:r>
              <w:rPr>
                <w:b/>
              </w:rPr>
              <w:t>Community Employment</w:t>
            </w:r>
          </w:p>
        </w:tc>
        <w:tc>
          <w:tcPr>
            <w:tcW w:w="8850" w:type="dxa"/>
            <w:shd w:val="clear" w:color="auto" w:fill="EFEFEF"/>
            <w:tcMar>
              <w:top w:w="100" w:type="dxa"/>
              <w:left w:w="100" w:type="dxa"/>
              <w:bottom w:w="100" w:type="dxa"/>
              <w:right w:w="100" w:type="dxa"/>
            </w:tcMar>
          </w:tcPr>
          <w:p w14:paraId="3D90332C" w14:textId="77777777" w:rsidR="00BE2A38" w:rsidRDefault="00B67E3B">
            <w:pPr>
              <w:widowControl w:val="0"/>
              <w:spacing w:line="240" w:lineRule="auto"/>
              <w:contextualSpacing w:val="0"/>
              <w:rPr>
                <w:i/>
                <w:sz w:val="20"/>
                <w:szCs w:val="20"/>
              </w:rPr>
            </w:pPr>
            <w:r>
              <w:rPr>
                <w:sz w:val="20"/>
                <w:szCs w:val="20"/>
              </w:rPr>
              <w:t xml:space="preserve">Employment which is competitive employment and takes place in an integrated setting </w:t>
            </w:r>
            <w:r>
              <w:rPr>
                <w:i/>
                <w:sz w:val="20"/>
                <w:szCs w:val="20"/>
              </w:rPr>
              <w:t>(Adopted by Ohio Employment Fir</w:t>
            </w:r>
            <w:r>
              <w:rPr>
                <w:i/>
                <w:sz w:val="20"/>
                <w:szCs w:val="20"/>
              </w:rPr>
              <w:t>st Task Force State Agencies 2013 )</w:t>
            </w:r>
          </w:p>
        </w:tc>
      </w:tr>
      <w:tr w:rsidR="00BE2A38" w14:paraId="5EAAA159" w14:textId="77777777">
        <w:tc>
          <w:tcPr>
            <w:tcW w:w="2430" w:type="dxa"/>
            <w:shd w:val="clear" w:color="auto" w:fill="auto"/>
            <w:tcMar>
              <w:top w:w="100" w:type="dxa"/>
              <w:left w:w="100" w:type="dxa"/>
              <w:bottom w:w="100" w:type="dxa"/>
              <w:right w:w="100" w:type="dxa"/>
            </w:tcMar>
          </w:tcPr>
          <w:p w14:paraId="2D3D8430" w14:textId="77777777" w:rsidR="00BE2A38" w:rsidRDefault="00B67E3B">
            <w:pPr>
              <w:widowControl w:val="0"/>
              <w:spacing w:line="240" w:lineRule="auto"/>
              <w:contextualSpacing w:val="0"/>
              <w:rPr>
                <w:b/>
              </w:rPr>
            </w:pPr>
            <w:r>
              <w:rPr>
                <w:b/>
              </w:rPr>
              <w:t>Competitive Employment</w:t>
            </w:r>
          </w:p>
        </w:tc>
        <w:tc>
          <w:tcPr>
            <w:tcW w:w="8850" w:type="dxa"/>
            <w:shd w:val="clear" w:color="auto" w:fill="auto"/>
            <w:tcMar>
              <w:top w:w="100" w:type="dxa"/>
              <w:left w:w="100" w:type="dxa"/>
              <w:bottom w:w="100" w:type="dxa"/>
              <w:right w:w="100" w:type="dxa"/>
            </w:tcMar>
          </w:tcPr>
          <w:p w14:paraId="2C04EE0B" w14:textId="77777777" w:rsidR="00BE2A38" w:rsidRDefault="00B67E3B">
            <w:pPr>
              <w:widowControl w:val="0"/>
              <w:spacing w:line="240" w:lineRule="auto"/>
              <w:contextualSpacing w:val="0"/>
              <w:rPr>
                <w:i/>
                <w:sz w:val="20"/>
                <w:szCs w:val="20"/>
              </w:rPr>
            </w:pPr>
            <w:r>
              <w:rPr>
                <w:sz w:val="20"/>
                <w:szCs w:val="20"/>
              </w:rPr>
              <w:t>Full-time or part-time work in the competitive labor market in which payment is at or above the minimum wage, but not less than the customary wage and level of benefits paid by employers for the s</w:t>
            </w:r>
            <w:r>
              <w:rPr>
                <w:sz w:val="20"/>
                <w:szCs w:val="20"/>
              </w:rPr>
              <w:t>ame or similar work performed by persons who are not disabled.</w:t>
            </w:r>
            <w:r>
              <w:rPr>
                <w:i/>
                <w:sz w:val="20"/>
                <w:szCs w:val="20"/>
              </w:rPr>
              <w:t>(Adopted by Ohio Employment First Task Force State Agencies 2013 )</w:t>
            </w:r>
          </w:p>
          <w:p w14:paraId="542CF635" w14:textId="77777777" w:rsidR="00BE2A38" w:rsidRDefault="00BE2A38">
            <w:pPr>
              <w:widowControl w:val="0"/>
              <w:spacing w:line="240" w:lineRule="auto"/>
              <w:contextualSpacing w:val="0"/>
              <w:rPr>
                <w:i/>
                <w:sz w:val="20"/>
                <w:szCs w:val="20"/>
              </w:rPr>
            </w:pPr>
          </w:p>
          <w:p w14:paraId="5BEE43C4" w14:textId="77777777" w:rsidR="00BE2A38" w:rsidRDefault="00B67E3B">
            <w:pPr>
              <w:widowControl w:val="0"/>
              <w:spacing w:line="240" w:lineRule="auto"/>
              <w:contextualSpacing w:val="0"/>
              <w:rPr>
                <w:i/>
                <w:sz w:val="20"/>
                <w:szCs w:val="20"/>
              </w:rPr>
            </w:pPr>
            <w:r>
              <w:rPr>
                <w:i/>
                <w:sz w:val="20"/>
                <w:szCs w:val="20"/>
              </w:rPr>
              <w:t>Note:</w:t>
            </w:r>
            <w:r>
              <w:rPr>
                <w:sz w:val="20"/>
                <w:szCs w:val="20"/>
              </w:rPr>
              <w:t xml:space="preserve"> In the initial legislation, competitive employment was defined as a job that involved 20 hours or more of employment. Th</w:t>
            </w:r>
            <w:r>
              <w:rPr>
                <w:sz w:val="20"/>
                <w:szCs w:val="20"/>
              </w:rPr>
              <w:t xml:space="preserve">e reference to a specific number of hours of employment </w:t>
            </w:r>
            <w:r>
              <w:rPr>
                <w:i/>
                <w:sz w:val="20"/>
                <w:szCs w:val="20"/>
              </w:rPr>
              <w:t>was dropped</w:t>
            </w:r>
            <w:r>
              <w:rPr>
                <w:sz w:val="20"/>
                <w:szCs w:val="20"/>
              </w:rPr>
              <w:t xml:space="preserve"> when the regulations were amended in the early 1990s.</w:t>
            </w:r>
            <w:r>
              <w:rPr>
                <w:i/>
                <w:sz w:val="20"/>
                <w:szCs w:val="20"/>
              </w:rPr>
              <w:t xml:space="preserve"> </w:t>
            </w:r>
          </w:p>
        </w:tc>
      </w:tr>
      <w:tr w:rsidR="00BE2A38" w14:paraId="26F802A8" w14:textId="77777777">
        <w:tc>
          <w:tcPr>
            <w:tcW w:w="2430" w:type="dxa"/>
            <w:shd w:val="clear" w:color="auto" w:fill="EFEFEF"/>
            <w:tcMar>
              <w:top w:w="100" w:type="dxa"/>
              <w:left w:w="100" w:type="dxa"/>
              <w:bottom w:w="100" w:type="dxa"/>
              <w:right w:w="100" w:type="dxa"/>
            </w:tcMar>
          </w:tcPr>
          <w:p w14:paraId="52FCC9CB" w14:textId="77777777" w:rsidR="00BE2A38" w:rsidRDefault="00B67E3B">
            <w:pPr>
              <w:widowControl w:val="0"/>
              <w:spacing w:line="240" w:lineRule="auto"/>
              <w:contextualSpacing w:val="0"/>
              <w:rPr>
                <w:b/>
              </w:rPr>
            </w:pPr>
            <w:r>
              <w:rPr>
                <w:b/>
              </w:rPr>
              <w:t>Integrated setting</w:t>
            </w:r>
          </w:p>
        </w:tc>
        <w:tc>
          <w:tcPr>
            <w:tcW w:w="8850" w:type="dxa"/>
            <w:shd w:val="clear" w:color="auto" w:fill="EFEFEF"/>
            <w:tcMar>
              <w:top w:w="100" w:type="dxa"/>
              <w:left w:w="100" w:type="dxa"/>
              <w:bottom w:w="100" w:type="dxa"/>
              <w:right w:w="100" w:type="dxa"/>
            </w:tcMar>
          </w:tcPr>
          <w:p w14:paraId="46D65141" w14:textId="77777777" w:rsidR="00BE2A38" w:rsidRDefault="00B67E3B">
            <w:pPr>
              <w:widowControl w:val="0"/>
              <w:spacing w:line="240" w:lineRule="auto"/>
              <w:contextualSpacing w:val="0"/>
              <w:rPr>
                <w:sz w:val="20"/>
                <w:szCs w:val="20"/>
              </w:rPr>
            </w:pPr>
            <w:r>
              <w:rPr>
                <w:sz w:val="20"/>
                <w:szCs w:val="20"/>
              </w:rPr>
              <w:t>An employment setting typically found in the community where individuals interact with persons who do not have disabilities to the same extent nondisabled persons in comparable positions interact with other persons. "Integrated setting" includes employment</w:t>
            </w:r>
            <w:r>
              <w:rPr>
                <w:sz w:val="20"/>
                <w:szCs w:val="20"/>
              </w:rPr>
              <w:t xml:space="preserve"> settings where employees interact with the community via technology.</w:t>
            </w:r>
            <w:r>
              <w:rPr>
                <w:i/>
                <w:sz w:val="20"/>
                <w:szCs w:val="20"/>
              </w:rPr>
              <w:t>(Adopted by Ohio Employment First Task Force State Agencies 2013 )</w:t>
            </w:r>
          </w:p>
        </w:tc>
      </w:tr>
      <w:tr w:rsidR="00BE2A38" w14:paraId="5A3020C4" w14:textId="77777777">
        <w:tc>
          <w:tcPr>
            <w:tcW w:w="2430" w:type="dxa"/>
            <w:shd w:val="clear" w:color="auto" w:fill="auto"/>
            <w:tcMar>
              <w:top w:w="100" w:type="dxa"/>
              <w:left w:w="100" w:type="dxa"/>
              <w:bottom w:w="100" w:type="dxa"/>
              <w:right w:w="100" w:type="dxa"/>
            </w:tcMar>
          </w:tcPr>
          <w:p w14:paraId="138AAAEB" w14:textId="77777777" w:rsidR="00BE2A38" w:rsidRDefault="00B67E3B">
            <w:pPr>
              <w:widowControl w:val="0"/>
              <w:spacing w:line="240" w:lineRule="auto"/>
              <w:contextualSpacing w:val="0"/>
              <w:rPr>
                <w:b/>
              </w:rPr>
            </w:pPr>
            <w:r>
              <w:rPr>
                <w:b/>
              </w:rPr>
              <w:t>Sheltered Employment</w:t>
            </w:r>
          </w:p>
          <w:p w14:paraId="49CBC293" w14:textId="77777777" w:rsidR="00BE2A38" w:rsidRDefault="00B67E3B">
            <w:pPr>
              <w:widowControl w:val="0"/>
              <w:numPr>
                <w:ilvl w:val="0"/>
                <w:numId w:val="8"/>
              </w:numPr>
              <w:spacing w:line="240" w:lineRule="auto"/>
              <w:ind w:left="360"/>
              <w:rPr>
                <w:b/>
                <w:sz w:val="20"/>
                <w:szCs w:val="20"/>
              </w:rPr>
            </w:pPr>
            <w:r>
              <w:rPr>
                <w:b/>
                <w:sz w:val="20"/>
                <w:szCs w:val="20"/>
              </w:rPr>
              <w:t>Transitional Employment Programs</w:t>
            </w:r>
          </w:p>
          <w:p w14:paraId="28F46D00" w14:textId="77777777" w:rsidR="00BE2A38" w:rsidRDefault="00B67E3B">
            <w:pPr>
              <w:widowControl w:val="0"/>
              <w:numPr>
                <w:ilvl w:val="0"/>
                <w:numId w:val="8"/>
              </w:numPr>
              <w:spacing w:line="240" w:lineRule="auto"/>
              <w:ind w:left="360"/>
              <w:rPr>
                <w:b/>
                <w:sz w:val="20"/>
                <w:szCs w:val="20"/>
              </w:rPr>
            </w:pPr>
            <w:r>
              <w:rPr>
                <w:b/>
                <w:sz w:val="20"/>
                <w:szCs w:val="20"/>
              </w:rPr>
              <w:t>Extended Employment Programs</w:t>
            </w:r>
          </w:p>
        </w:tc>
        <w:tc>
          <w:tcPr>
            <w:tcW w:w="8850" w:type="dxa"/>
            <w:shd w:val="clear" w:color="auto" w:fill="auto"/>
            <w:tcMar>
              <w:top w:w="100" w:type="dxa"/>
              <w:left w:w="100" w:type="dxa"/>
              <w:bottom w:w="100" w:type="dxa"/>
              <w:right w:w="100" w:type="dxa"/>
            </w:tcMar>
          </w:tcPr>
          <w:p w14:paraId="44066C8C" w14:textId="77777777" w:rsidR="00BE2A38" w:rsidRDefault="00B67E3B">
            <w:pPr>
              <w:spacing w:line="240" w:lineRule="auto"/>
              <w:contextualSpacing w:val="0"/>
              <w:rPr>
                <w:sz w:val="20"/>
                <w:szCs w:val="20"/>
              </w:rPr>
            </w:pPr>
            <w:r>
              <w:rPr>
                <w:sz w:val="20"/>
                <w:szCs w:val="20"/>
              </w:rPr>
              <w:t>A setting in which people with disabilities receive services and training to develop work-related skills and behaviors. “Sheltered,” as a concept, originally implied an environment, which was safe and protected for individuals with disabilities.</w:t>
            </w:r>
          </w:p>
          <w:p w14:paraId="457EFEA4" w14:textId="77777777" w:rsidR="00BE2A38" w:rsidRDefault="00B67E3B">
            <w:pPr>
              <w:widowControl w:val="0"/>
              <w:numPr>
                <w:ilvl w:val="0"/>
                <w:numId w:val="2"/>
              </w:numPr>
              <w:spacing w:line="240" w:lineRule="auto"/>
              <w:rPr>
                <w:sz w:val="20"/>
                <w:szCs w:val="20"/>
              </w:rPr>
            </w:pPr>
            <w:r>
              <w:rPr>
                <w:i/>
                <w:sz w:val="20"/>
                <w:szCs w:val="20"/>
              </w:rPr>
              <w:t>Transition</w:t>
            </w:r>
            <w:r>
              <w:rPr>
                <w:i/>
                <w:sz w:val="20"/>
                <w:szCs w:val="20"/>
              </w:rPr>
              <w:t>al employment</w:t>
            </w:r>
            <w:r>
              <w:rPr>
                <w:sz w:val="20"/>
                <w:szCs w:val="20"/>
              </w:rPr>
              <w:t xml:space="preserve"> programs are intended to provide training and experience to individuals in segregated settings so that they will be able to acquire the skills necessary to succeed in subsequent competitive employment. </w:t>
            </w:r>
          </w:p>
          <w:p w14:paraId="33FBB3DE" w14:textId="77777777" w:rsidR="00BE2A38" w:rsidRDefault="00B67E3B">
            <w:pPr>
              <w:widowControl w:val="0"/>
              <w:numPr>
                <w:ilvl w:val="0"/>
                <w:numId w:val="2"/>
              </w:numPr>
              <w:spacing w:line="240" w:lineRule="auto"/>
              <w:rPr>
                <w:sz w:val="20"/>
                <w:szCs w:val="20"/>
              </w:rPr>
            </w:pPr>
            <w:r>
              <w:rPr>
                <w:i/>
                <w:sz w:val="20"/>
                <w:szCs w:val="20"/>
              </w:rPr>
              <w:t xml:space="preserve">Extended employment </w:t>
            </w:r>
            <w:r>
              <w:rPr>
                <w:sz w:val="20"/>
                <w:szCs w:val="20"/>
              </w:rPr>
              <w:t>programs are design</w:t>
            </w:r>
            <w:r>
              <w:rPr>
                <w:sz w:val="20"/>
                <w:szCs w:val="20"/>
              </w:rPr>
              <w:t>ed to be long-term or permanent placement for individuals that will allow them to use their existing abilities to earn wages in the segregated workshop setting. This is often referred to as a ‘sheltered workshop’.*</w:t>
            </w:r>
          </w:p>
        </w:tc>
      </w:tr>
      <w:tr w:rsidR="00BE2A38" w14:paraId="28A6E245" w14:textId="77777777">
        <w:trPr>
          <w:trHeight w:val="780"/>
        </w:trPr>
        <w:tc>
          <w:tcPr>
            <w:tcW w:w="11280" w:type="dxa"/>
            <w:gridSpan w:val="2"/>
            <w:shd w:val="clear" w:color="auto" w:fill="EFEFEF"/>
            <w:tcMar>
              <w:top w:w="100" w:type="dxa"/>
              <w:left w:w="100" w:type="dxa"/>
              <w:bottom w:w="100" w:type="dxa"/>
              <w:right w:w="100" w:type="dxa"/>
            </w:tcMar>
          </w:tcPr>
          <w:p w14:paraId="0365E63C" w14:textId="77777777" w:rsidR="00BE2A38" w:rsidRDefault="00B67E3B">
            <w:pPr>
              <w:widowControl w:val="0"/>
              <w:spacing w:line="240" w:lineRule="auto"/>
              <w:contextualSpacing w:val="0"/>
            </w:pPr>
            <w:r>
              <w:rPr>
                <w:b/>
              </w:rPr>
              <w:t>Supported Employment</w:t>
            </w:r>
          </w:p>
          <w:p w14:paraId="773E35E7" w14:textId="77777777" w:rsidR="00BE2A38" w:rsidRDefault="00B67E3B">
            <w:pPr>
              <w:widowControl w:val="0"/>
              <w:spacing w:line="240" w:lineRule="auto"/>
              <w:contextualSpacing w:val="0"/>
              <w:rPr>
                <w:sz w:val="20"/>
                <w:szCs w:val="20"/>
              </w:rPr>
            </w:pPr>
            <w:r>
              <w:rPr>
                <w:i/>
                <w:sz w:val="20"/>
                <w:szCs w:val="20"/>
              </w:rPr>
              <w:t>The term, “Supporte</w:t>
            </w:r>
            <w:r>
              <w:rPr>
                <w:i/>
                <w:sz w:val="20"/>
                <w:szCs w:val="20"/>
              </w:rPr>
              <w:t xml:space="preserve">d Employment” can be used to define a type of employment or a type of employment service. Additionally, there are various types of supported employment. </w:t>
            </w:r>
          </w:p>
        </w:tc>
      </w:tr>
      <w:tr w:rsidR="00BE2A38" w14:paraId="00A22AE1" w14:textId="77777777">
        <w:tc>
          <w:tcPr>
            <w:tcW w:w="2430" w:type="dxa"/>
            <w:shd w:val="clear" w:color="auto" w:fill="FFFFFF"/>
            <w:tcMar>
              <w:top w:w="100" w:type="dxa"/>
              <w:left w:w="100" w:type="dxa"/>
              <w:bottom w:w="100" w:type="dxa"/>
              <w:right w:w="100" w:type="dxa"/>
            </w:tcMar>
          </w:tcPr>
          <w:p w14:paraId="25433494" w14:textId="77777777" w:rsidR="00BE2A38" w:rsidRDefault="00B67E3B">
            <w:pPr>
              <w:widowControl w:val="0"/>
              <w:spacing w:line="240" w:lineRule="auto"/>
              <w:contextualSpacing w:val="0"/>
              <w:rPr>
                <w:b/>
              </w:rPr>
            </w:pPr>
            <w:r>
              <w:rPr>
                <w:b/>
              </w:rPr>
              <w:t xml:space="preserve">Supported Employment: </w:t>
            </w:r>
          </w:p>
          <w:p w14:paraId="1E44DE7F" w14:textId="77777777" w:rsidR="00BE2A38" w:rsidRDefault="00B67E3B">
            <w:pPr>
              <w:widowControl w:val="0"/>
              <w:spacing w:line="240" w:lineRule="auto"/>
              <w:contextualSpacing w:val="0"/>
              <w:rPr>
                <w:b/>
                <w:i/>
              </w:rPr>
            </w:pPr>
            <w:r>
              <w:rPr>
                <w:b/>
                <w:i/>
              </w:rPr>
              <w:t>Type of Employment</w:t>
            </w:r>
          </w:p>
        </w:tc>
        <w:tc>
          <w:tcPr>
            <w:tcW w:w="8850" w:type="dxa"/>
            <w:shd w:val="clear" w:color="auto" w:fill="FFFFFF"/>
            <w:tcMar>
              <w:top w:w="100" w:type="dxa"/>
              <w:left w:w="100" w:type="dxa"/>
              <w:bottom w:w="100" w:type="dxa"/>
              <w:right w:w="100" w:type="dxa"/>
            </w:tcMar>
          </w:tcPr>
          <w:p w14:paraId="5318619D" w14:textId="77777777" w:rsidR="00BE2A38" w:rsidRDefault="00B67E3B">
            <w:pPr>
              <w:widowControl w:val="0"/>
              <w:spacing w:line="240" w:lineRule="auto"/>
              <w:contextualSpacing w:val="0"/>
              <w:rPr>
                <w:sz w:val="20"/>
                <w:szCs w:val="20"/>
              </w:rPr>
            </w:pPr>
            <w:r>
              <w:rPr>
                <w:sz w:val="20"/>
                <w:szCs w:val="20"/>
              </w:rPr>
              <w:t xml:space="preserve">Type of </w:t>
            </w:r>
            <w:r>
              <w:rPr>
                <w:i/>
                <w:sz w:val="20"/>
                <w:szCs w:val="20"/>
              </w:rPr>
              <w:t>Employment:</w:t>
            </w:r>
            <w:r>
              <w:rPr>
                <w:sz w:val="20"/>
                <w:szCs w:val="20"/>
              </w:rPr>
              <w:t xml:space="preserve"> </w:t>
            </w:r>
          </w:p>
          <w:p w14:paraId="696595B4" w14:textId="77777777" w:rsidR="00BE2A38" w:rsidRDefault="00B67E3B">
            <w:pPr>
              <w:widowControl w:val="0"/>
              <w:numPr>
                <w:ilvl w:val="0"/>
                <w:numId w:val="3"/>
              </w:numPr>
              <w:spacing w:line="240" w:lineRule="auto"/>
              <w:rPr>
                <w:sz w:val="20"/>
                <w:szCs w:val="20"/>
              </w:rPr>
            </w:pPr>
            <w:r>
              <w:rPr>
                <w:sz w:val="20"/>
                <w:szCs w:val="20"/>
              </w:rPr>
              <w:t xml:space="preserve">Competitive employment in an integrated setting </w:t>
            </w:r>
            <w:r>
              <w:rPr>
                <w:i/>
                <w:sz w:val="20"/>
                <w:szCs w:val="20"/>
              </w:rPr>
              <w:t>with ongoing support services</w:t>
            </w:r>
            <w:r>
              <w:rPr>
                <w:sz w:val="20"/>
                <w:szCs w:val="20"/>
              </w:rPr>
              <w:t xml:space="preserve">. </w:t>
            </w:r>
          </w:p>
          <w:p w14:paraId="792D1A24" w14:textId="77777777" w:rsidR="00BE2A38" w:rsidRDefault="00B67E3B">
            <w:pPr>
              <w:widowControl w:val="0"/>
              <w:numPr>
                <w:ilvl w:val="0"/>
                <w:numId w:val="3"/>
              </w:numPr>
              <w:spacing w:line="240" w:lineRule="auto"/>
              <w:rPr>
                <w:sz w:val="20"/>
                <w:szCs w:val="20"/>
              </w:rPr>
            </w:pPr>
            <w:r>
              <w:rPr>
                <w:sz w:val="20"/>
                <w:szCs w:val="20"/>
              </w:rPr>
              <w:t>Does NOT include sheltered work</w:t>
            </w:r>
          </w:p>
          <w:p w14:paraId="5250CBAA" w14:textId="77777777" w:rsidR="00BE2A38" w:rsidRDefault="00B67E3B">
            <w:pPr>
              <w:widowControl w:val="0"/>
              <w:numPr>
                <w:ilvl w:val="0"/>
                <w:numId w:val="3"/>
              </w:numPr>
              <w:spacing w:line="240" w:lineRule="auto"/>
              <w:rPr>
                <w:sz w:val="20"/>
                <w:szCs w:val="20"/>
              </w:rPr>
            </w:pPr>
            <w:r>
              <w:rPr>
                <w:sz w:val="20"/>
                <w:szCs w:val="20"/>
              </w:rPr>
              <w:t>Intended for individuals with the most severe disabilities for whom competitive employment had not traditionally occurred or was  interrupted as</w:t>
            </w:r>
            <w:r>
              <w:rPr>
                <w:sz w:val="20"/>
                <w:szCs w:val="20"/>
              </w:rPr>
              <w:t xml:space="preserve"> a result of a severe disability. **</w:t>
            </w:r>
          </w:p>
        </w:tc>
      </w:tr>
      <w:tr w:rsidR="00BE2A38" w14:paraId="332F1912" w14:textId="77777777">
        <w:tc>
          <w:tcPr>
            <w:tcW w:w="2430" w:type="dxa"/>
            <w:shd w:val="clear" w:color="auto" w:fill="EFEFEF"/>
            <w:tcMar>
              <w:top w:w="100" w:type="dxa"/>
              <w:left w:w="100" w:type="dxa"/>
              <w:bottom w:w="100" w:type="dxa"/>
              <w:right w:w="100" w:type="dxa"/>
            </w:tcMar>
          </w:tcPr>
          <w:p w14:paraId="68539F5A" w14:textId="77777777" w:rsidR="00BE2A38" w:rsidRDefault="00B67E3B">
            <w:pPr>
              <w:widowControl w:val="0"/>
              <w:spacing w:line="240" w:lineRule="auto"/>
              <w:contextualSpacing w:val="0"/>
              <w:rPr>
                <w:b/>
              </w:rPr>
            </w:pPr>
            <w:r>
              <w:rPr>
                <w:b/>
              </w:rPr>
              <w:t xml:space="preserve">Supported Employment: </w:t>
            </w:r>
          </w:p>
          <w:p w14:paraId="6B152094" w14:textId="77777777" w:rsidR="00BE2A38" w:rsidRDefault="00B67E3B">
            <w:pPr>
              <w:widowControl w:val="0"/>
              <w:spacing w:line="240" w:lineRule="auto"/>
              <w:contextualSpacing w:val="0"/>
              <w:rPr>
                <w:b/>
                <w:i/>
              </w:rPr>
            </w:pPr>
            <w:r>
              <w:rPr>
                <w:b/>
                <w:i/>
              </w:rPr>
              <w:t>Type of Service</w:t>
            </w:r>
          </w:p>
        </w:tc>
        <w:tc>
          <w:tcPr>
            <w:tcW w:w="8850" w:type="dxa"/>
            <w:shd w:val="clear" w:color="auto" w:fill="EFEFEF"/>
            <w:tcMar>
              <w:top w:w="100" w:type="dxa"/>
              <w:left w:w="100" w:type="dxa"/>
              <w:bottom w:w="100" w:type="dxa"/>
              <w:right w:w="100" w:type="dxa"/>
            </w:tcMar>
          </w:tcPr>
          <w:p w14:paraId="248FADC0" w14:textId="77777777" w:rsidR="00BE2A38" w:rsidRDefault="00B67E3B">
            <w:pPr>
              <w:widowControl w:val="0"/>
              <w:spacing w:line="240" w:lineRule="auto"/>
              <w:contextualSpacing w:val="0"/>
              <w:rPr>
                <w:sz w:val="20"/>
                <w:szCs w:val="20"/>
              </w:rPr>
            </w:pPr>
            <w:r>
              <w:rPr>
                <w:sz w:val="20"/>
                <w:szCs w:val="20"/>
              </w:rPr>
              <w:t xml:space="preserve">Type of </w:t>
            </w:r>
            <w:r>
              <w:rPr>
                <w:i/>
                <w:sz w:val="20"/>
                <w:szCs w:val="20"/>
              </w:rPr>
              <w:t>Service:</w:t>
            </w:r>
            <w:r>
              <w:rPr>
                <w:sz w:val="20"/>
                <w:szCs w:val="20"/>
              </w:rPr>
              <w:t xml:space="preserve"> </w:t>
            </w:r>
          </w:p>
          <w:p w14:paraId="37096C74" w14:textId="77777777" w:rsidR="00BE2A38" w:rsidRDefault="00B67E3B">
            <w:pPr>
              <w:widowControl w:val="0"/>
              <w:numPr>
                <w:ilvl w:val="0"/>
                <w:numId w:val="5"/>
              </w:numPr>
              <w:spacing w:line="240" w:lineRule="auto"/>
              <w:rPr>
                <w:sz w:val="20"/>
                <w:szCs w:val="20"/>
              </w:rPr>
            </w:pPr>
            <w:r>
              <w:rPr>
                <w:sz w:val="20"/>
                <w:szCs w:val="20"/>
              </w:rPr>
              <w:t xml:space="preserve">Intensive, ongoing supports that enable participants, for whom competitive employment at or above the minimum wage is unlikely without supports, and who because of their disabilities, need supports to perform in a regular work setting. </w:t>
            </w:r>
          </w:p>
          <w:p w14:paraId="7F925F79" w14:textId="77777777" w:rsidR="00BE2A38" w:rsidRDefault="00B67E3B">
            <w:pPr>
              <w:widowControl w:val="0"/>
              <w:numPr>
                <w:ilvl w:val="0"/>
                <w:numId w:val="5"/>
              </w:numPr>
              <w:spacing w:line="240" w:lineRule="auto"/>
              <w:rPr>
                <w:sz w:val="20"/>
                <w:szCs w:val="20"/>
              </w:rPr>
            </w:pPr>
            <w:r>
              <w:rPr>
                <w:sz w:val="20"/>
                <w:szCs w:val="20"/>
              </w:rPr>
              <w:t>Supported employmen</w:t>
            </w:r>
            <w:r>
              <w:rPr>
                <w:sz w:val="20"/>
                <w:szCs w:val="20"/>
              </w:rPr>
              <w:t xml:space="preserve">t does </w:t>
            </w:r>
            <w:r>
              <w:rPr>
                <w:sz w:val="20"/>
                <w:szCs w:val="20"/>
                <w:u w:val="single"/>
              </w:rPr>
              <w:t>not</w:t>
            </w:r>
            <w:r>
              <w:rPr>
                <w:sz w:val="20"/>
                <w:szCs w:val="20"/>
              </w:rPr>
              <w:t xml:space="preserve"> include vocational services in specialized facilities. </w:t>
            </w:r>
          </w:p>
          <w:p w14:paraId="2D65B425" w14:textId="77777777" w:rsidR="00BE2A38" w:rsidRDefault="00B67E3B">
            <w:pPr>
              <w:widowControl w:val="0"/>
              <w:numPr>
                <w:ilvl w:val="1"/>
                <w:numId w:val="5"/>
              </w:numPr>
              <w:spacing w:line="240" w:lineRule="auto"/>
              <w:rPr>
                <w:sz w:val="20"/>
                <w:szCs w:val="20"/>
              </w:rPr>
            </w:pPr>
            <w:r>
              <w:rPr>
                <w:sz w:val="20"/>
                <w:szCs w:val="20"/>
              </w:rPr>
              <w:t xml:space="preserve">“Supported employment-community” : Services in an integrated community work setting where persons with and without disabilities are employed to perform the </w:t>
            </w:r>
            <w:r>
              <w:rPr>
                <w:sz w:val="20"/>
                <w:szCs w:val="20"/>
              </w:rPr>
              <w:lastRenderedPageBreak/>
              <w:t xml:space="preserve">same or similar tasks. </w:t>
            </w:r>
          </w:p>
          <w:p w14:paraId="31BCCDC7" w14:textId="77777777" w:rsidR="00BE2A38" w:rsidRDefault="00B67E3B">
            <w:pPr>
              <w:widowControl w:val="0"/>
              <w:numPr>
                <w:ilvl w:val="1"/>
                <w:numId w:val="5"/>
              </w:numPr>
              <w:spacing w:line="240" w:lineRule="auto"/>
              <w:rPr>
                <w:sz w:val="20"/>
                <w:szCs w:val="20"/>
              </w:rPr>
            </w:pPr>
            <w:r>
              <w:rPr>
                <w:sz w:val="20"/>
                <w:szCs w:val="20"/>
              </w:rPr>
              <w:t>“Supporte</w:t>
            </w:r>
            <w:r>
              <w:rPr>
                <w:sz w:val="20"/>
                <w:szCs w:val="20"/>
              </w:rPr>
              <w:t xml:space="preserve">d employment-enclave” : Services provided to a person with a disability who works as a team in a host community business with ongoing support provided by on-site agency staff. </w:t>
            </w:r>
          </w:p>
        </w:tc>
      </w:tr>
      <w:tr w:rsidR="00BE2A38" w14:paraId="3612398C" w14:textId="77777777">
        <w:tc>
          <w:tcPr>
            <w:tcW w:w="2430" w:type="dxa"/>
            <w:tcMar>
              <w:top w:w="100" w:type="dxa"/>
              <w:left w:w="100" w:type="dxa"/>
              <w:bottom w:w="100" w:type="dxa"/>
              <w:right w:w="100" w:type="dxa"/>
            </w:tcMar>
          </w:tcPr>
          <w:p w14:paraId="30E18FD9" w14:textId="77777777" w:rsidR="00BE2A38" w:rsidRDefault="00B67E3B">
            <w:pPr>
              <w:widowControl w:val="0"/>
              <w:spacing w:line="240" w:lineRule="auto"/>
              <w:contextualSpacing w:val="0"/>
              <w:rPr>
                <w:b/>
              </w:rPr>
            </w:pPr>
            <w:r>
              <w:rPr>
                <w:b/>
              </w:rPr>
              <w:lastRenderedPageBreak/>
              <w:t xml:space="preserve">Supported Employment: </w:t>
            </w:r>
          </w:p>
          <w:p w14:paraId="5858362C" w14:textId="77777777" w:rsidR="00BE2A38" w:rsidRDefault="00B67E3B">
            <w:pPr>
              <w:widowControl w:val="0"/>
              <w:spacing w:line="240" w:lineRule="auto"/>
              <w:contextualSpacing w:val="0"/>
              <w:rPr>
                <w:b/>
                <w:i/>
              </w:rPr>
            </w:pPr>
            <w:r>
              <w:rPr>
                <w:b/>
                <w:i/>
              </w:rPr>
              <w:t>DOL Definition</w:t>
            </w:r>
          </w:p>
        </w:tc>
        <w:tc>
          <w:tcPr>
            <w:tcW w:w="8850" w:type="dxa"/>
            <w:tcMar>
              <w:top w:w="100" w:type="dxa"/>
              <w:left w:w="100" w:type="dxa"/>
              <w:bottom w:w="100" w:type="dxa"/>
              <w:right w:w="100" w:type="dxa"/>
            </w:tcMar>
          </w:tcPr>
          <w:p w14:paraId="4B23149E" w14:textId="77777777" w:rsidR="00BE2A38" w:rsidRDefault="00B67E3B">
            <w:pPr>
              <w:spacing w:line="240" w:lineRule="auto"/>
              <w:contextualSpacing w:val="0"/>
              <w:rPr>
                <w:sz w:val="20"/>
                <w:szCs w:val="20"/>
              </w:rPr>
            </w:pPr>
            <w:r>
              <w:rPr>
                <w:sz w:val="20"/>
                <w:szCs w:val="20"/>
              </w:rPr>
              <w:t>Department of Labor defines Supported Em</w:t>
            </w:r>
            <w:r>
              <w:rPr>
                <w:sz w:val="20"/>
                <w:szCs w:val="20"/>
              </w:rPr>
              <w:t>ployment as:</w:t>
            </w:r>
          </w:p>
          <w:p w14:paraId="1BDADB0D" w14:textId="77777777" w:rsidR="00BE2A38" w:rsidRDefault="00B67E3B">
            <w:pPr>
              <w:widowControl w:val="0"/>
              <w:spacing w:line="240" w:lineRule="auto"/>
              <w:contextualSpacing w:val="0"/>
              <w:rPr>
                <w:sz w:val="20"/>
                <w:szCs w:val="20"/>
              </w:rPr>
            </w:pPr>
            <w:r>
              <w:rPr>
                <w:sz w:val="20"/>
                <w:szCs w:val="20"/>
              </w:rPr>
              <w:t>Work programs in which job coaches work with individuals with disabilities who are placed in employment settings (outside of the work center or rehabilitation center) with workers who do not have disabilities. The job coaches typically provide</w:t>
            </w:r>
            <w:r>
              <w:rPr>
                <w:sz w:val="20"/>
                <w:szCs w:val="20"/>
              </w:rPr>
              <w:t xml:space="preserve"> extensive training and actually perform the job where necessary.</w:t>
            </w:r>
          </w:p>
        </w:tc>
      </w:tr>
      <w:tr w:rsidR="00BE2A38" w14:paraId="6C528363" w14:textId="77777777">
        <w:tc>
          <w:tcPr>
            <w:tcW w:w="2430" w:type="dxa"/>
            <w:shd w:val="clear" w:color="auto" w:fill="EFEFEF"/>
            <w:tcMar>
              <w:top w:w="100" w:type="dxa"/>
              <w:left w:w="100" w:type="dxa"/>
              <w:bottom w:w="100" w:type="dxa"/>
              <w:right w:w="100" w:type="dxa"/>
            </w:tcMar>
          </w:tcPr>
          <w:p w14:paraId="74366FB2" w14:textId="77777777" w:rsidR="00BE2A38" w:rsidRDefault="00B67E3B">
            <w:pPr>
              <w:widowControl w:val="0"/>
              <w:spacing w:line="240" w:lineRule="auto"/>
              <w:contextualSpacing w:val="0"/>
              <w:rPr>
                <w:b/>
              </w:rPr>
            </w:pPr>
            <w:r>
              <w:rPr>
                <w:b/>
              </w:rPr>
              <w:t>Enclave</w:t>
            </w:r>
          </w:p>
        </w:tc>
        <w:tc>
          <w:tcPr>
            <w:tcW w:w="8850" w:type="dxa"/>
            <w:shd w:val="clear" w:color="auto" w:fill="EFEFEF"/>
            <w:tcMar>
              <w:top w:w="100" w:type="dxa"/>
              <w:left w:w="100" w:type="dxa"/>
              <w:bottom w:w="100" w:type="dxa"/>
              <w:right w:w="100" w:type="dxa"/>
            </w:tcMar>
          </w:tcPr>
          <w:p w14:paraId="6767F693" w14:textId="77777777" w:rsidR="00BE2A38" w:rsidRDefault="00B67E3B">
            <w:pPr>
              <w:numPr>
                <w:ilvl w:val="0"/>
                <w:numId w:val="4"/>
              </w:numPr>
              <w:spacing w:line="240" w:lineRule="auto"/>
              <w:ind w:left="450"/>
              <w:rPr>
                <w:sz w:val="20"/>
                <w:szCs w:val="20"/>
              </w:rPr>
            </w:pPr>
            <w:r>
              <w:rPr>
                <w:sz w:val="20"/>
                <w:szCs w:val="20"/>
              </w:rPr>
              <w:t xml:space="preserve">Generally, a group of workers with disabilities working together in a community business where they are supervised and supported by staff from a provider agency or work center. </w:t>
            </w:r>
          </w:p>
          <w:p w14:paraId="1A6B496F" w14:textId="77777777" w:rsidR="00BE2A38" w:rsidRDefault="00B67E3B">
            <w:pPr>
              <w:numPr>
                <w:ilvl w:val="0"/>
                <w:numId w:val="4"/>
              </w:numPr>
              <w:spacing w:line="240" w:lineRule="auto"/>
              <w:ind w:left="450"/>
              <w:rPr>
                <w:sz w:val="20"/>
                <w:szCs w:val="20"/>
              </w:rPr>
            </w:pPr>
            <w:r>
              <w:rPr>
                <w:sz w:val="20"/>
                <w:szCs w:val="20"/>
              </w:rPr>
              <w:t xml:space="preserve">The workers are paid, but are not on the payroll of the business where the work takes place. </w:t>
            </w:r>
          </w:p>
          <w:p w14:paraId="20ECED9C" w14:textId="77777777" w:rsidR="00BE2A38" w:rsidRDefault="00B67E3B">
            <w:pPr>
              <w:numPr>
                <w:ilvl w:val="0"/>
                <w:numId w:val="4"/>
              </w:numPr>
              <w:spacing w:line="240" w:lineRule="auto"/>
              <w:ind w:left="450"/>
              <w:rPr>
                <w:sz w:val="20"/>
                <w:szCs w:val="20"/>
              </w:rPr>
            </w:pPr>
            <w:r>
              <w:rPr>
                <w:sz w:val="20"/>
                <w:szCs w:val="20"/>
              </w:rPr>
              <w:t xml:space="preserve">Enclaves are intended to create a path to integrated community-based employment. </w:t>
            </w:r>
          </w:p>
          <w:p w14:paraId="3C643BAF" w14:textId="77777777" w:rsidR="00BE2A38" w:rsidRDefault="00B67E3B">
            <w:pPr>
              <w:numPr>
                <w:ilvl w:val="0"/>
                <w:numId w:val="4"/>
              </w:numPr>
              <w:spacing w:line="240" w:lineRule="auto"/>
              <w:ind w:left="450"/>
              <w:rPr>
                <w:sz w:val="20"/>
                <w:szCs w:val="20"/>
              </w:rPr>
            </w:pPr>
            <w:r>
              <w:rPr>
                <w:sz w:val="20"/>
                <w:szCs w:val="20"/>
              </w:rPr>
              <w:t>Services are expected to specifically involve strategies that enhance a particip</w:t>
            </w:r>
            <w:r>
              <w:rPr>
                <w:sz w:val="20"/>
                <w:szCs w:val="20"/>
              </w:rPr>
              <w:t>ant's employability in integrated, community settings.</w:t>
            </w:r>
            <w:r>
              <w:rPr>
                <w:sz w:val="20"/>
                <w:szCs w:val="20"/>
              </w:rPr>
              <w:tab/>
            </w:r>
            <w:r>
              <w:rPr>
                <w:sz w:val="20"/>
                <w:szCs w:val="20"/>
              </w:rPr>
              <w:tab/>
            </w:r>
          </w:p>
        </w:tc>
      </w:tr>
      <w:tr w:rsidR="00BE2A38" w14:paraId="7C0E3F1F" w14:textId="77777777">
        <w:tc>
          <w:tcPr>
            <w:tcW w:w="2430" w:type="dxa"/>
            <w:tcMar>
              <w:top w:w="100" w:type="dxa"/>
              <w:left w:w="100" w:type="dxa"/>
              <w:bottom w:w="100" w:type="dxa"/>
              <w:right w:w="100" w:type="dxa"/>
            </w:tcMar>
          </w:tcPr>
          <w:p w14:paraId="34874C80" w14:textId="77777777" w:rsidR="00BE2A38" w:rsidRDefault="00B67E3B">
            <w:pPr>
              <w:widowControl w:val="0"/>
              <w:spacing w:line="240" w:lineRule="auto"/>
              <w:contextualSpacing w:val="0"/>
              <w:rPr>
                <w:b/>
              </w:rPr>
            </w:pPr>
            <w:r>
              <w:rPr>
                <w:b/>
              </w:rPr>
              <w:t>Mobile Crew</w:t>
            </w:r>
          </w:p>
        </w:tc>
        <w:tc>
          <w:tcPr>
            <w:tcW w:w="8850" w:type="dxa"/>
            <w:tcMar>
              <w:top w:w="100" w:type="dxa"/>
              <w:left w:w="100" w:type="dxa"/>
              <w:bottom w:w="100" w:type="dxa"/>
              <w:right w:w="100" w:type="dxa"/>
            </w:tcMar>
          </w:tcPr>
          <w:p w14:paraId="458E94C1" w14:textId="77777777" w:rsidR="00BE2A38" w:rsidRDefault="00B67E3B">
            <w:pPr>
              <w:numPr>
                <w:ilvl w:val="0"/>
                <w:numId w:val="1"/>
              </w:numPr>
              <w:spacing w:line="240" w:lineRule="auto"/>
              <w:ind w:left="450"/>
              <w:rPr>
                <w:sz w:val="20"/>
                <w:szCs w:val="20"/>
              </w:rPr>
            </w:pPr>
            <w:r>
              <w:rPr>
                <w:sz w:val="20"/>
                <w:szCs w:val="20"/>
              </w:rPr>
              <w:t xml:space="preserve">Supported employment services where a small crew of persons with disabilities works as a distinct unit </w:t>
            </w:r>
          </w:p>
          <w:p w14:paraId="09ED8A2E" w14:textId="77777777" w:rsidR="00BE2A38" w:rsidRDefault="00B67E3B">
            <w:pPr>
              <w:numPr>
                <w:ilvl w:val="0"/>
                <w:numId w:val="1"/>
              </w:numPr>
              <w:spacing w:line="240" w:lineRule="auto"/>
              <w:ind w:left="450"/>
              <w:rPr>
                <w:sz w:val="20"/>
                <w:szCs w:val="20"/>
              </w:rPr>
            </w:pPr>
            <w:r>
              <w:rPr>
                <w:sz w:val="20"/>
                <w:szCs w:val="20"/>
              </w:rPr>
              <w:t>Operates as a self-contained business that generates employment for their crew members by selling a service (example: janitorial services)</w:t>
            </w:r>
          </w:p>
          <w:p w14:paraId="78DAC6EC" w14:textId="77777777" w:rsidR="00BE2A38" w:rsidRDefault="00B67E3B">
            <w:pPr>
              <w:numPr>
                <w:ilvl w:val="0"/>
                <w:numId w:val="1"/>
              </w:numPr>
              <w:spacing w:line="240" w:lineRule="auto"/>
              <w:ind w:left="450"/>
              <w:rPr>
                <w:sz w:val="20"/>
                <w:szCs w:val="20"/>
              </w:rPr>
            </w:pPr>
            <w:r>
              <w:rPr>
                <w:sz w:val="20"/>
                <w:szCs w:val="20"/>
              </w:rPr>
              <w:t xml:space="preserve">The crew may work at several locations within the community, under the supervision of a job coach. </w:t>
            </w:r>
          </w:p>
        </w:tc>
      </w:tr>
      <w:tr w:rsidR="00BE2A38" w14:paraId="6A7FE122" w14:textId="77777777">
        <w:tc>
          <w:tcPr>
            <w:tcW w:w="2430" w:type="dxa"/>
            <w:shd w:val="clear" w:color="auto" w:fill="EFEFEF"/>
            <w:tcMar>
              <w:top w:w="100" w:type="dxa"/>
              <w:left w:w="100" w:type="dxa"/>
              <w:bottom w:w="100" w:type="dxa"/>
              <w:right w:w="100" w:type="dxa"/>
            </w:tcMar>
          </w:tcPr>
          <w:p w14:paraId="49987DF9" w14:textId="77777777" w:rsidR="00BE2A38" w:rsidRDefault="00B67E3B">
            <w:pPr>
              <w:widowControl w:val="0"/>
              <w:spacing w:line="240" w:lineRule="auto"/>
              <w:contextualSpacing w:val="0"/>
              <w:rPr>
                <w:b/>
              </w:rPr>
            </w:pPr>
            <w:r>
              <w:rPr>
                <w:b/>
              </w:rPr>
              <w:t>Self-Employment</w:t>
            </w:r>
          </w:p>
        </w:tc>
        <w:tc>
          <w:tcPr>
            <w:tcW w:w="8850" w:type="dxa"/>
            <w:shd w:val="clear" w:color="auto" w:fill="EFEFEF"/>
            <w:tcMar>
              <w:top w:w="100" w:type="dxa"/>
              <w:left w:w="100" w:type="dxa"/>
              <w:bottom w:w="100" w:type="dxa"/>
              <w:right w:w="100" w:type="dxa"/>
            </w:tcMar>
          </w:tcPr>
          <w:p w14:paraId="7A25A114" w14:textId="77777777" w:rsidR="00BE2A38" w:rsidRDefault="00B67E3B">
            <w:pPr>
              <w:numPr>
                <w:ilvl w:val="0"/>
                <w:numId w:val="7"/>
              </w:numPr>
              <w:spacing w:line="240" w:lineRule="auto"/>
              <w:ind w:left="450"/>
              <w:rPr>
                <w:sz w:val="20"/>
                <w:szCs w:val="20"/>
              </w:rPr>
            </w:pPr>
            <w:r>
              <w:rPr>
                <w:sz w:val="20"/>
                <w:szCs w:val="20"/>
              </w:rPr>
              <w:t>A situation in which an individual works for himself instead of working for an employer that pays a salary or a wage</w:t>
            </w:r>
          </w:p>
          <w:p w14:paraId="10A1847D" w14:textId="77777777" w:rsidR="00BE2A38" w:rsidRDefault="00B67E3B">
            <w:pPr>
              <w:numPr>
                <w:ilvl w:val="0"/>
                <w:numId w:val="7"/>
              </w:numPr>
              <w:spacing w:line="240" w:lineRule="auto"/>
              <w:ind w:left="450"/>
              <w:rPr>
                <w:sz w:val="20"/>
                <w:szCs w:val="20"/>
              </w:rPr>
            </w:pPr>
            <w:r>
              <w:rPr>
                <w:sz w:val="20"/>
                <w:szCs w:val="20"/>
              </w:rPr>
              <w:t>Self-employed people generally find their own work rather than being provided with work by an employer, earning income from a trade or busi</w:t>
            </w:r>
            <w:r>
              <w:rPr>
                <w:sz w:val="20"/>
                <w:szCs w:val="20"/>
              </w:rPr>
              <w:t>ness that they operate</w:t>
            </w:r>
          </w:p>
          <w:p w14:paraId="1F646B94" w14:textId="77777777" w:rsidR="00BE2A38" w:rsidRDefault="00B67E3B">
            <w:pPr>
              <w:numPr>
                <w:ilvl w:val="0"/>
                <w:numId w:val="7"/>
              </w:numPr>
              <w:spacing w:line="240" w:lineRule="auto"/>
              <w:ind w:left="450"/>
              <w:rPr>
                <w:sz w:val="20"/>
                <w:szCs w:val="20"/>
              </w:rPr>
            </w:pPr>
            <w:r>
              <w:rPr>
                <w:sz w:val="20"/>
                <w:szCs w:val="20"/>
              </w:rPr>
              <w:t xml:space="preserve">Self-employment may be </w:t>
            </w:r>
            <w:r>
              <w:rPr>
                <w:color w:val="222222"/>
                <w:sz w:val="20"/>
                <w:szCs w:val="20"/>
                <w:highlight w:val="white"/>
              </w:rPr>
              <w:t xml:space="preserve">Entrepreneurship (refers to a new business) </w:t>
            </w:r>
          </w:p>
        </w:tc>
      </w:tr>
      <w:tr w:rsidR="00BE2A38" w14:paraId="5D7005FC" w14:textId="77777777">
        <w:tc>
          <w:tcPr>
            <w:tcW w:w="2430" w:type="dxa"/>
            <w:tcMar>
              <w:top w:w="100" w:type="dxa"/>
              <w:left w:w="100" w:type="dxa"/>
              <w:bottom w:w="100" w:type="dxa"/>
              <w:right w:w="100" w:type="dxa"/>
            </w:tcMar>
          </w:tcPr>
          <w:p w14:paraId="46ECC36C" w14:textId="77777777" w:rsidR="00BE2A38" w:rsidRDefault="00B67E3B">
            <w:pPr>
              <w:widowControl w:val="0"/>
              <w:spacing w:line="240" w:lineRule="auto"/>
              <w:contextualSpacing w:val="0"/>
              <w:rPr>
                <w:b/>
              </w:rPr>
            </w:pPr>
            <w:r>
              <w:rPr>
                <w:b/>
              </w:rPr>
              <w:t>Adult Day Supports or Services (ADS)</w:t>
            </w:r>
          </w:p>
          <w:p w14:paraId="0411D98F" w14:textId="77777777" w:rsidR="00BE2A38" w:rsidRDefault="00B67E3B">
            <w:pPr>
              <w:widowControl w:val="0"/>
              <w:spacing w:line="240" w:lineRule="auto"/>
              <w:contextualSpacing w:val="0"/>
              <w:rPr>
                <w:b/>
              </w:rPr>
            </w:pPr>
            <w:r>
              <w:rPr>
                <w:b/>
              </w:rPr>
              <w:t>“Day Program”</w:t>
            </w:r>
          </w:p>
          <w:p w14:paraId="3BD3F5D3" w14:textId="77777777" w:rsidR="00BE2A38" w:rsidRDefault="00BE2A38">
            <w:pPr>
              <w:widowControl w:val="0"/>
              <w:spacing w:line="240" w:lineRule="auto"/>
              <w:contextualSpacing w:val="0"/>
              <w:rPr>
                <w:b/>
              </w:rPr>
            </w:pPr>
          </w:p>
          <w:p w14:paraId="4D8A864E" w14:textId="77777777" w:rsidR="00BE2A38" w:rsidRDefault="00B67E3B">
            <w:pPr>
              <w:spacing w:line="240" w:lineRule="auto"/>
              <w:contextualSpacing w:val="0"/>
              <w:rPr>
                <w:b/>
                <w:color w:val="333333"/>
              </w:rPr>
            </w:pPr>
            <w:r>
              <w:rPr>
                <w:i/>
                <w:color w:val="333333"/>
              </w:rPr>
              <w:t>States vary considerably in the terms they use for ADS and how they are specifically defined.</w:t>
            </w:r>
            <w:r>
              <w:rPr>
                <w:b/>
                <w:color w:val="333333"/>
              </w:rPr>
              <w:t xml:space="preserve"> </w:t>
            </w:r>
          </w:p>
          <w:p w14:paraId="564F3254" w14:textId="77777777" w:rsidR="00BE2A38" w:rsidRDefault="00BE2A38">
            <w:pPr>
              <w:widowControl w:val="0"/>
              <w:spacing w:line="240" w:lineRule="auto"/>
              <w:contextualSpacing w:val="0"/>
              <w:rPr>
                <w:b/>
              </w:rPr>
            </w:pPr>
          </w:p>
        </w:tc>
        <w:tc>
          <w:tcPr>
            <w:tcW w:w="8850" w:type="dxa"/>
            <w:tcMar>
              <w:top w:w="100" w:type="dxa"/>
              <w:left w:w="100" w:type="dxa"/>
              <w:bottom w:w="100" w:type="dxa"/>
              <w:right w:w="100" w:type="dxa"/>
            </w:tcMar>
          </w:tcPr>
          <w:p w14:paraId="374AB21C" w14:textId="77777777" w:rsidR="00BE2A38" w:rsidRDefault="00B67E3B">
            <w:pPr>
              <w:spacing w:line="240" w:lineRule="auto"/>
              <w:contextualSpacing w:val="0"/>
              <w:rPr>
                <w:color w:val="333333"/>
                <w:sz w:val="20"/>
                <w:szCs w:val="20"/>
              </w:rPr>
            </w:pPr>
            <w:r>
              <w:rPr>
                <w:color w:val="333333"/>
                <w:sz w:val="20"/>
                <w:szCs w:val="20"/>
              </w:rPr>
              <w:t xml:space="preserve">Adult Day Supports/Services </w:t>
            </w:r>
            <w:r>
              <w:rPr>
                <w:b/>
                <w:color w:val="333333"/>
                <w:sz w:val="20"/>
                <w:szCs w:val="20"/>
              </w:rPr>
              <w:t xml:space="preserve">are NOT employment supports and services. </w:t>
            </w:r>
            <w:r>
              <w:rPr>
                <w:color w:val="333333"/>
                <w:sz w:val="20"/>
                <w:szCs w:val="20"/>
              </w:rPr>
              <w:t>The focus of ADS</w:t>
            </w:r>
            <w:r>
              <w:rPr>
                <w:b/>
                <w:color w:val="333333"/>
                <w:sz w:val="20"/>
                <w:szCs w:val="20"/>
              </w:rPr>
              <w:t xml:space="preserve"> is not</w:t>
            </w:r>
            <w:r>
              <w:rPr>
                <w:color w:val="333333"/>
                <w:sz w:val="20"/>
                <w:szCs w:val="20"/>
              </w:rPr>
              <w:t xml:space="preserve"> to help a person obtain, maintain or engage in employment. Instead, these supports are to assist a person to participate in other aspects of community life.</w:t>
            </w:r>
          </w:p>
          <w:p w14:paraId="479F9DBC" w14:textId="77777777" w:rsidR="00BE2A38" w:rsidRDefault="00BE2A38">
            <w:pPr>
              <w:spacing w:line="240" w:lineRule="auto"/>
              <w:contextualSpacing w:val="0"/>
              <w:rPr>
                <w:color w:val="333333"/>
                <w:sz w:val="20"/>
                <w:szCs w:val="20"/>
              </w:rPr>
            </w:pPr>
          </w:p>
          <w:p w14:paraId="51730CAA" w14:textId="77777777" w:rsidR="00BE2A38" w:rsidRDefault="00B67E3B">
            <w:pPr>
              <w:spacing w:line="240" w:lineRule="auto"/>
              <w:contextualSpacing w:val="0"/>
              <w:rPr>
                <w:color w:val="333333"/>
                <w:sz w:val="20"/>
                <w:szCs w:val="20"/>
              </w:rPr>
            </w:pPr>
            <w:r>
              <w:rPr>
                <w:color w:val="333333"/>
                <w:sz w:val="20"/>
                <w:szCs w:val="20"/>
              </w:rPr>
              <w:t>In O</w:t>
            </w:r>
            <w:r>
              <w:rPr>
                <w:color w:val="333333"/>
                <w:sz w:val="20"/>
                <w:szCs w:val="20"/>
              </w:rPr>
              <w:t xml:space="preserve">hio, Adult Day Supports are supports/services provided in a non-residential setting that enhance skills, community membership and independence, and personal choice in order to attain or maintain maximum potential.These supports could include: </w:t>
            </w:r>
          </w:p>
          <w:p w14:paraId="45B9A7A8" w14:textId="77777777" w:rsidR="00BE2A38" w:rsidRDefault="00B67E3B">
            <w:pPr>
              <w:numPr>
                <w:ilvl w:val="0"/>
                <w:numId w:val="6"/>
              </w:numPr>
              <w:spacing w:line="240" w:lineRule="auto"/>
              <w:ind w:left="540"/>
              <w:rPr>
                <w:sz w:val="20"/>
                <w:szCs w:val="20"/>
              </w:rPr>
            </w:pPr>
            <w:r>
              <w:rPr>
                <w:color w:val="333333"/>
                <w:sz w:val="20"/>
                <w:szCs w:val="20"/>
              </w:rPr>
              <w:t xml:space="preserve">Supports to </w:t>
            </w:r>
            <w:r>
              <w:rPr>
                <w:color w:val="333333"/>
                <w:sz w:val="20"/>
                <w:szCs w:val="20"/>
              </w:rPr>
              <w:t>participate in community activities, including recreational and leisure</w:t>
            </w:r>
          </w:p>
          <w:p w14:paraId="7E619FF5" w14:textId="77777777" w:rsidR="00BE2A38" w:rsidRDefault="00B67E3B">
            <w:pPr>
              <w:numPr>
                <w:ilvl w:val="0"/>
                <w:numId w:val="6"/>
              </w:numPr>
              <w:spacing w:after="160" w:line="240" w:lineRule="auto"/>
              <w:ind w:left="540"/>
              <w:rPr>
                <w:sz w:val="20"/>
                <w:szCs w:val="20"/>
              </w:rPr>
            </w:pPr>
            <w:r>
              <w:rPr>
                <w:color w:val="333333"/>
                <w:sz w:val="20"/>
                <w:szCs w:val="20"/>
              </w:rPr>
              <w:t>Supports to develop and maintain a meaningful social life</w:t>
            </w:r>
          </w:p>
          <w:p w14:paraId="02428899" w14:textId="77777777" w:rsidR="00BE2A38" w:rsidRDefault="00B67E3B">
            <w:pPr>
              <w:numPr>
                <w:ilvl w:val="0"/>
                <w:numId w:val="6"/>
              </w:numPr>
              <w:spacing w:after="160" w:line="240" w:lineRule="auto"/>
              <w:ind w:left="540"/>
              <w:rPr>
                <w:sz w:val="20"/>
                <w:szCs w:val="20"/>
              </w:rPr>
            </w:pPr>
            <w:r>
              <w:rPr>
                <w:color w:val="333333"/>
                <w:sz w:val="20"/>
                <w:szCs w:val="20"/>
              </w:rPr>
              <w:t>Supports to increase problem solving skills</w:t>
            </w:r>
          </w:p>
          <w:p w14:paraId="4D7EFC2B" w14:textId="77777777" w:rsidR="00BE2A38" w:rsidRDefault="00B67E3B">
            <w:pPr>
              <w:numPr>
                <w:ilvl w:val="0"/>
                <w:numId w:val="6"/>
              </w:numPr>
              <w:spacing w:after="160" w:line="240" w:lineRule="auto"/>
              <w:ind w:left="540"/>
              <w:rPr>
                <w:sz w:val="20"/>
                <w:szCs w:val="20"/>
              </w:rPr>
            </w:pPr>
            <w:r>
              <w:rPr>
                <w:color w:val="333333"/>
                <w:sz w:val="20"/>
                <w:szCs w:val="20"/>
              </w:rPr>
              <w:t>Personal care</w:t>
            </w:r>
          </w:p>
          <w:p w14:paraId="1B9CEC5F" w14:textId="77777777" w:rsidR="00BE2A38" w:rsidRDefault="00B67E3B">
            <w:pPr>
              <w:numPr>
                <w:ilvl w:val="0"/>
                <w:numId w:val="6"/>
              </w:numPr>
              <w:spacing w:after="160" w:line="240" w:lineRule="auto"/>
              <w:ind w:left="540"/>
              <w:rPr>
                <w:sz w:val="20"/>
                <w:szCs w:val="20"/>
              </w:rPr>
            </w:pPr>
            <w:r>
              <w:rPr>
                <w:color w:val="333333"/>
                <w:sz w:val="20"/>
                <w:szCs w:val="20"/>
              </w:rPr>
              <w:t>Skill reinforcement</w:t>
            </w:r>
          </w:p>
          <w:p w14:paraId="6E24AE75" w14:textId="77777777" w:rsidR="00BE2A38" w:rsidRDefault="00B67E3B">
            <w:pPr>
              <w:numPr>
                <w:ilvl w:val="0"/>
                <w:numId w:val="6"/>
              </w:numPr>
              <w:spacing w:after="160" w:line="240" w:lineRule="auto"/>
              <w:ind w:left="540"/>
              <w:rPr>
                <w:sz w:val="20"/>
                <w:szCs w:val="20"/>
              </w:rPr>
            </w:pPr>
            <w:r>
              <w:rPr>
                <w:color w:val="333333"/>
                <w:sz w:val="20"/>
                <w:szCs w:val="20"/>
              </w:rPr>
              <w:t>Education in self-determination</w:t>
            </w:r>
          </w:p>
          <w:p w14:paraId="1045B651" w14:textId="77777777" w:rsidR="00BE2A38" w:rsidRDefault="00B67E3B">
            <w:pPr>
              <w:numPr>
                <w:ilvl w:val="0"/>
                <w:numId w:val="6"/>
              </w:numPr>
              <w:spacing w:after="160" w:line="240" w:lineRule="auto"/>
              <w:ind w:left="540"/>
              <w:rPr>
                <w:sz w:val="20"/>
                <w:szCs w:val="20"/>
              </w:rPr>
            </w:pPr>
            <w:r>
              <w:rPr>
                <w:color w:val="333333"/>
                <w:sz w:val="20"/>
                <w:szCs w:val="20"/>
              </w:rPr>
              <w:t>Assistance with self-medication or medication administration</w:t>
            </w:r>
            <w:r>
              <w:rPr>
                <w:color w:val="333333"/>
                <w:sz w:val="20"/>
                <w:szCs w:val="20"/>
              </w:rPr>
              <w:tab/>
            </w:r>
            <w:r>
              <w:rPr>
                <w:color w:val="333333"/>
                <w:sz w:val="20"/>
                <w:szCs w:val="20"/>
              </w:rPr>
              <w:tab/>
            </w:r>
          </w:p>
        </w:tc>
      </w:tr>
    </w:tbl>
    <w:p w14:paraId="2DA2761B" w14:textId="77777777" w:rsidR="00BE2A38" w:rsidRDefault="00BE2A38">
      <w:pPr>
        <w:contextualSpacing w:val="0"/>
      </w:pPr>
    </w:p>
    <w:p w14:paraId="4C99B051" w14:textId="77777777" w:rsidR="00BE2A38" w:rsidRDefault="00B67E3B">
      <w:pPr>
        <w:widowControl w:val="0"/>
        <w:spacing w:line="240" w:lineRule="auto"/>
        <w:ind w:left="-900" w:right="-990"/>
        <w:contextualSpacing w:val="0"/>
        <w:rPr>
          <w:i/>
          <w:sz w:val="20"/>
          <w:szCs w:val="20"/>
        </w:rPr>
      </w:pPr>
      <w:r>
        <w:t xml:space="preserve">* </w:t>
      </w:r>
      <w:hyperlink r:id="rId5">
        <w:r>
          <w:rPr>
            <w:i/>
            <w:color w:val="1155CC"/>
            <w:sz w:val="20"/>
            <w:szCs w:val="20"/>
            <w:u w:val="single"/>
          </w:rPr>
          <w:t>http://www.worksupport.com/documents/shelteredchap3.pdf</w:t>
        </w:r>
      </w:hyperlink>
    </w:p>
    <w:p w14:paraId="3F0DEA58" w14:textId="77777777" w:rsidR="00BE2A38" w:rsidRDefault="00B67E3B">
      <w:pPr>
        <w:widowControl w:val="0"/>
        <w:spacing w:line="240" w:lineRule="auto"/>
        <w:ind w:left="-900" w:right="-990"/>
        <w:contextualSpacing w:val="0"/>
      </w:pPr>
      <w:r>
        <w:rPr>
          <w:i/>
          <w:sz w:val="20"/>
          <w:szCs w:val="20"/>
        </w:rPr>
        <w:t>Sheltered vs. Supported Employment: A Direct Comparison of</w:t>
      </w:r>
      <w:r>
        <w:rPr>
          <w:i/>
          <w:sz w:val="20"/>
          <w:szCs w:val="20"/>
        </w:rPr>
        <w:t xml:space="preserve"> Long-Term Earnings Outcomes for Individuals with Cognitive Disabilities John Kregel and David H. Dean</w:t>
      </w:r>
    </w:p>
    <w:p w14:paraId="13E4006C" w14:textId="77777777" w:rsidR="00BE2A38" w:rsidRDefault="00B67E3B">
      <w:pPr>
        <w:widowControl w:val="0"/>
        <w:spacing w:line="240" w:lineRule="auto"/>
        <w:ind w:left="-900" w:right="-990"/>
        <w:contextualSpacing w:val="0"/>
        <w:rPr>
          <w:sz w:val="20"/>
          <w:szCs w:val="20"/>
        </w:rPr>
      </w:pPr>
      <w:r>
        <w:t xml:space="preserve">** </w:t>
      </w:r>
      <w:hyperlink r:id="rId6">
        <w:r>
          <w:rPr>
            <w:color w:val="1155CC"/>
            <w:sz w:val="20"/>
            <w:szCs w:val="20"/>
            <w:u w:val="single"/>
          </w:rPr>
          <w:t>http://www.worksupport.com/documents/JVRSE_what_is_it1.pdf</w:t>
        </w:r>
      </w:hyperlink>
      <w:r>
        <w:rPr>
          <w:sz w:val="20"/>
          <w:szCs w:val="20"/>
        </w:rPr>
        <w:t xml:space="preserve"> S</w:t>
      </w:r>
    </w:p>
    <w:p w14:paraId="2CF0E988" w14:textId="77777777" w:rsidR="00BE2A38" w:rsidRDefault="00B67E3B">
      <w:pPr>
        <w:widowControl w:val="0"/>
        <w:spacing w:line="240" w:lineRule="auto"/>
        <w:ind w:left="-900" w:right="-990"/>
        <w:contextualSpacing w:val="0"/>
      </w:pPr>
      <w:r>
        <w:rPr>
          <w:sz w:val="20"/>
          <w:szCs w:val="20"/>
        </w:rPr>
        <w:t>Supported Employment: What is it? by Paul Wehman</w:t>
      </w:r>
    </w:p>
    <w:p w14:paraId="313BC606" w14:textId="77777777" w:rsidR="00BE2A38" w:rsidRDefault="00BE2A38">
      <w:pPr>
        <w:contextualSpacing w:val="0"/>
      </w:pPr>
    </w:p>
    <w:sectPr w:rsidR="00BE2A38">
      <w:pgSz w:w="12240" w:h="15840"/>
      <w:pgMar w:top="90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937"/>
    <w:multiLevelType w:val="multilevel"/>
    <w:tmpl w:val="0832A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4F15EF"/>
    <w:multiLevelType w:val="multilevel"/>
    <w:tmpl w:val="39025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E3063E"/>
    <w:multiLevelType w:val="multilevel"/>
    <w:tmpl w:val="5248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B45EA"/>
    <w:multiLevelType w:val="multilevel"/>
    <w:tmpl w:val="A9A23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3F4EF7"/>
    <w:multiLevelType w:val="multilevel"/>
    <w:tmpl w:val="41BE8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0143FF"/>
    <w:multiLevelType w:val="multilevel"/>
    <w:tmpl w:val="A5AAFF3A"/>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8E756E"/>
    <w:multiLevelType w:val="multilevel"/>
    <w:tmpl w:val="96408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56745E"/>
    <w:multiLevelType w:val="multilevel"/>
    <w:tmpl w:val="341A3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38"/>
    <w:rsid w:val="00B67E3B"/>
    <w:rsid w:val="00BE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25B9A"/>
  <w15:docId w15:val="{133057A1-EF54-0D4C-BB3C-B1D9EF67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support.com/documents/JVRSE_what_is_it1.pdf" TargetMode="External"/><Relationship Id="rId5" Type="http://schemas.openxmlformats.org/officeDocument/2006/relationships/hyperlink" Target="http://www.worksupport.com/documents/shelteredchap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2018-12-06T18:32:00Z</dcterms:created>
  <dcterms:modified xsi:type="dcterms:W3CDTF">2018-12-06T18:32:00Z</dcterms:modified>
</cp:coreProperties>
</file>